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0"/>
      </w:tblGrid>
      <w:tr w:rsidR="00B741FA" w:rsidRPr="00B741FA" w:rsidTr="00B741FA">
        <w:trPr>
          <w:tblCellSpacing w:w="15" w:type="dxa"/>
          <w:jc w:val="center"/>
        </w:trPr>
        <w:tc>
          <w:tcPr>
            <w:tcW w:w="12300" w:type="dxa"/>
            <w:shd w:val="clear" w:color="auto" w:fill="F5F5F5"/>
            <w:vAlign w:val="center"/>
            <w:hideMark/>
          </w:tcPr>
          <w:p w:rsidR="00B741FA" w:rsidRPr="00B741FA" w:rsidRDefault="00B741FA" w:rsidP="00B741F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800000"/>
                <w:sz w:val="21"/>
                <w:szCs w:val="21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1"/>
                <w:szCs w:val="21"/>
                <w:lang w:eastAsia="ru-RU"/>
              </w:rPr>
              <w:t>Основные направления научной деятельности</w:t>
            </w: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1"/>
                <w:szCs w:val="21"/>
                <w:lang w:eastAsia="ru-RU"/>
              </w:rPr>
              <w:br/>
              <w:t>и оригинальные работы</w:t>
            </w:r>
          </w:p>
          <w:p w:rsidR="00B741FA" w:rsidRDefault="00B741FA" w:rsidP="00B741F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val="en-US" w:eastAsia="ru-RU"/>
              </w:rPr>
            </w:pP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Дисперсионные соотношения и приближённые уравнения в квантовой теории поля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val="en-US" w:eastAsia="ru-RU"/>
              </w:rPr>
              <w:t xml:space="preserve">                                                                           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800000"/>
                <w:sz w:val="20"/>
                <w:szCs w:val="20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428750" cy="2085975"/>
                  <wp:effectExtent l="19050" t="0" r="0" b="0"/>
                  <wp:wrapSquare wrapText="bothSides"/>
                  <wp:docPr id="10" name="Рисунок 2" descr="А.Н.Тавхелидз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.Н.Тавхелидз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В рамках локальной квантовой теории поля установлены дисперсионные соотношения для амплитуд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фоторождения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пионов на нуклонах. На их основе, в приближении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двухчастичной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унитарности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получены неоднородные сингулярные интегральные уравнения для парциальных амплитуд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фоторождения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Ядром этих уравнений является амплитуда мезон-нуклонного рассеяния, а неоднородная часть представляет собой значение амплитуды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фоторождения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однонуклонном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приближении. Сравнение предсказаний уравнений с данными экспериментов даёт возможность проверить справедливость базисных предположений, лежащих в основе квантовой теории поля.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A.Logunov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 JETF, 1957, v.32, 1393-1403.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Предложена трехмерная формулировка релятивистской квантовой теории поля. Получены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квазипотенциальные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уравнения, уравнения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Логунова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-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Тавхелидзе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как для амплитуд рассеяния взаимодействующих элементарных частиц, так и для волновых функций связанных состояний. Уравнения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Логунова-Тавхелидзе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 успехом использовались при решении большого круга задач квантовой электродинамики и теории сильных взаимодействий. Применение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квазипотенциальных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уравнений в рамках квантовой электродинамики, основываясь на регулярном методе построения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квазипотенциала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оказалось весьма эффективным для вычисления высших поправок к энергии связанных состояний. В физике адронов, опираясь на общие принципы локальной квантовой теории поля, такие как релятивистская инвариантность,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унитарность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аналитичность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 перекрёстная симметрия, были предложены феноменологические локальные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квазипотенциалы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С их помощью исследовалась природа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реджевского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поведения амплитуд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двухчастичного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рассеяния, аналитические свойства парциальных амплитуд в комплексной плоскости углового момента, дифракционная картина рассеяния на малые углы и экспоненциальное падение дифференциального сечения с ростом переданного импульса и др. В квантовой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хромодинамике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квазипотенциальные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уравнения применяются для описания спектра связанных состояний кварков, анализа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кварковой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структуры адронов и ядер, изучения процессов при больших переданных импульсах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A.Logunov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Nuovo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Cim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1963, v.29, 380-399.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Получены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конечно-энергетические правила сумм для амплитуд мезон-нуклонного рассеяния,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устаналивающие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интегральные соотношения между резонансной частью амплитуды рассеяния и её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реджевской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асимптотикой. Экспериментальная </w:t>
            </w: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проверка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конечно-энергетических правил сумм привела к открытию важного свойства глобальной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дуальности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между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реджевским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 резонансным режимами поведения. Свойства глобальной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дуальности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 её локальная реализация (амплитуда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Венециано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) сыграли ключевую роль в формулировке струнной модели адронов.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A.Logunov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L.Soloviov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Phys.Lett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1967, v.24 B, 181-182.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lastRenderedPageBreak/>
              <w:t>Метод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конечно-энергетических правил сумм был обобщен на случай квантовой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хромодинамики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 учетом характерного для этой модели свойства асимптотической свободы. </w:t>
            </w: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Конечно-энергетические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правила сумм, будучи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непертурбативным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методом, широко используются в квантовой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хромодинамике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N.Krasnikov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K.Chetyrkin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Phys.Lett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1978, v.76 B, 83-84.</w:t>
            </w:r>
          </w:p>
        </w:tc>
      </w:tr>
      <w:tr w:rsidR="00B741FA" w:rsidRPr="00B741FA" w:rsidTr="00B741FA">
        <w:trPr>
          <w:tblCellSpacing w:w="15" w:type="dxa"/>
          <w:jc w:val="center"/>
        </w:trPr>
        <w:tc>
          <w:tcPr>
            <w:tcW w:w="12300" w:type="dxa"/>
            <w:shd w:val="clear" w:color="auto" w:fill="F5F5F5"/>
            <w:vAlign w:val="center"/>
            <w:hideMark/>
          </w:tcPr>
          <w:p w:rsidR="00B741FA" w:rsidRPr="00B741FA" w:rsidRDefault="00B741FA" w:rsidP="00B741F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Масса фермионов как результат спонтанного нарушения симметрии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В двумерной модели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Швингера-Тиринга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 в которой отсутствуют расходимости, следуя концепции Н.Н.Боголюбова о спонтанном нарушении симметрии основного состояния, была установлена возможность возникновения массы фермионов за счёт спонтанного нарушения γ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5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-инвариантности теории.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695575" cy="1143000"/>
                  <wp:effectExtent l="19050" t="0" r="9525" b="0"/>
                  <wp:wrapSquare wrapText="bothSides"/>
                  <wp:docPr id="9" name="Рисунок 3" descr="А.Н.Тавхелидзе, М.Е.Шапошников, В.А.Матве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.Н.Тавхелидзе, М.Е.Шапошников, В.А.Матве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B.Arbuzov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R.Faustov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Docl.Acad.Nauk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1961, v.139, 345-347.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На примере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электрослабых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взаимодействий было показано, что появление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короткодействущих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сил, переносимых массивными векторными бозонами, может быть целиком обусловлено отличным от нуля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колибровочно-инвариантным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вакуумным средним, скалярным конденсатом &lt;φ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perscript"/>
                <w:lang w:eastAsia="ru-RU"/>
              </w:rPr>
              <w:t>χ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φ&gt;=η, задающим параметр порядка теории, и не связано со спонтанным нарушением изотопической симметрии.</w:t>
            </w:r>
          </w:p>
          <w:p w:rsid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V.Matveev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M.Shaposhnikov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Theor.Mat.Phys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1984, v.59, 323-344.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Тавхелидзе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Е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Шапошников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Матвеев</w:t>
            </w:r>
          </w:p>
        </w:tc>
      </w:tr>
      <w:tr w:rsidR="00B741FA" w:rsidRPr="00B741FA" w:rsidTr="00B741FA">
        <w:trPr>
          <w:tblCellSpacing w:w="15" w:type="dxa"/>
          <w:jc w:val="center"/>
        </w:trPr>
        <w:tc>
          <w:tcPr>
            <w:tcW w:w="12300" w:type="dxa"/>
            <w:shd w:val="clear" w:color="auto" w:fill="F5F5F5"/>
            <w:vAlign w:val="center"/>
            <w:hideMark/>
          </w:tcPr>
          <w:p w:rsidR="00B741FA" w:rsidRPr="00B741FA" w:rsidRDefault="00B741FA" w:rsidP="00B741F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Квантовое число цвет и цветные кварки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800000"/>
                <w:sz w:val="20"/>
                <w:szCs w:val="20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581150"/>
                  <wp:effectExtent l="19050" t="0" r="0" b="0"/>
                  <wp:wrapSquare wrapText="bothSides"/>
                  <wp:docPr id="8" name="Рисунок 4" descr="А.Н.Тавхелидз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.Н.Тавхелидз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В 1965 году Н.Н.Боголюбов,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Б.В.Струминский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 А.Н.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Тавхелидзе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независимо от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Намбу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 Хана, выдвинули гипотезу о новом квантовом числе, характеризующем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кварковые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состояния. Данная характеристика впоследствии получила название - "цвет". Согласно предложенной гипотезе каждый кварк фиксированного аромата может находиться в трёх унитарно эквивалентных состояниях, соответствующих трём условным значениям цвета. Был сформулирован принцип отбора физических состояний, в соответствии с которым наблюдаемые мезоны и барионы описываются суперпозициями состояний цветных кварков, удовлетворяющими требованиям бесцветности и квантовой статистики. Важно, что введение цвета позволило учесть принцип Паули, не входя в противоречие с расчетами динамических электромагнитных характеристик адронов,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выполнеными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 рамках SU(6) симметрии. Была указана возможность существования цветных кварков, имеющих как дробные, так и целочисленные электрические заряды. В последнем случае цветовая симметрия </w:t>
            </w: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нарушается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по крайней мере в электромагнитных взаимодействиях.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lastRenderedPageBreak/>
              <w:t xml:space="preserve">Новая характеристика, "цвет", легла в основу современной теории сильновзаимодействующих элементарных частиц. Цветные кварки стали рассматриваться как реальные фундаментальные составляющие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адронной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материи, а квантовое число цвет - как заряд, ответственный за сильные взаимодействия кварков. В итоге гипотеза цветных кварков привела к созданию квантовой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хромодинамики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калибровочной теории взаимодействий цветных кварков и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глюонов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 и вызвала к жизни многочисленные варианты теории "большого объединения".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hyperlink r:id="rId7" w:tgtFrame="_self" w:history="1">
              <w:r w:rsidRPr="00B741FA">
                <w:rPr>
                  <w:rFonts w:ascii="Verdana" w:eastAsia="Times New Roman" w:hAnsi="Verdana" w:cs="Times New Roman"/>
                  <w:color w:val="800000"/>
                  <w:sz w:val="17"/>
                  <w:u w:val="single"/>
                  <w:lang w:eastAsia="ru-RU"/>
                </w:rPr>
                <w:t>К вопросу об открытии квантового числа «ЦВЕТ»</w:t>
              </w:r>
            </w:hyperlink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N.Bogolubov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B.Struminsky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JINR Preprint D-1968,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Dubna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1965.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 Proc. ICTP Seminar "High Energy Physics and Elementary Particles", (Trieste, 1965), Vienna 1965, 753-762, 763-779.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N.Bogolubov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V.Matveev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Nguen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Van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Hieu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D.Stoianov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B.Struminsky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V.Shelest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JINR Preprint P-2141,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Dubna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 1965.</w:t>
            </w:r>
          </w:p>
        </w:tc>
      </w:tr>
      <w:tr w:rsidR="00B741FA" w:rsidRPr="00B741FA" w:rsidTr="00B741FA">
        <w:trPr>
          <w:tblCellSpacing w:w="15" w:type="dxa"/>
          <w:jc w:val="center"/>
        </w:trPr>
        <w:tc>
          <w:tcPr>
            <w:tcW w:w="12300" w:type="dxa"/>
            <w:shd w:val="clear" w:color="auto" w:fill="F5F5F5"/>
            <w:vAlign w:val="center"/>
            <w:hideMark/>
          </w:tcPr>
          <w:p w:rsidR="00B741FA" w:rsidRPr="00B741FA" w:rsidRDefault="00B741FA" w:rsidP="00B741F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Релятивистская модель адронов, состоящих из </w:t>
            </w:r>
            <w:proofErr w:type="spellStart"/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квазисвободных</w:t>
            </w:r>
            <w:proofErr w:type="spellEnd"/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цветных кварков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Предложена релятивистская составная модель адронов, в которой барионы и мезоны рассматриваются как связанные состояния тяжелых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квазисвободных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кварков, движущихся в некотором самосогласованном скалярном потенциале. Данный потенциал препятствует вылету кварков наружу, компенсирует их большие массы и, как следствие, приводит к увеличению магнитных моментов кварков. В данной модели имеет место свойство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аддитивности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физических величин, характерное для нерелятивистского рассмотрения. Барионы и мезоны в модели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квазисвободных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кварков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конструирутся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 рамках SU(6) симметрии путем суперпозиции всех допустимых состояний, согласованных с требованиями статистики кварков и условием "бесцветности" адронов.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Динамическая модель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квазисвободных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кварков дала возможность систематического описания как наблюдаемых статических характеристик адронов (μ,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g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/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g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A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и др.), так и их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формфакторов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Она позволила объяснить слабые лептонные распады псевдоскалярных π - и</w:t>
            </w: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- мезонов, электромагнитные распады π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perscript"/>
                <w:lang w:eastAsia="ru-RU"/>
              </w:rPr>
              <w:t>0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на электрон-позитронные пары векторных ρ 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perscript"/>
                <w:lang w:eastAsia="ru-RU"/>
              </w:rPr>
              <w:t>0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 ω 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perscript"/>
                <w:lang w:eastAsia="ru-RU"/>
              </w:rPr>
              <w:t>0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и φ мезонов за счет аннигиляции составляющих их кварков и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антикварков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Анализ ширин этих распадов указывает на зависимость эффективных размеров связанной системы от ее квантовых чисел, так например,</w:t>
            </w:r>
          </w:p>
          <w:p w:rsidR="00B741FA" w:rsidRPr="00B741FA" w:rsidRDefault="00B741FA" w:rsidP="00B741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>
                  <wp:extent cx="1000125" cy="457200"/>
                  <wp:effectExtent l="19050" t="0" r="9525" b="0"/>
                  <wp:docPr id="1" name="Рисунок 1" descr="D:\inr\tavkhelidze\i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r\tavkhelidze\i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1FA" w:rsidRPr="00B741FA" w:rsidRDefault="00B741FA" w:rsidP="00B741F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 случае распада π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perscript"/>
                <w:lang w:eastAsia="ru-RU"/>
              </w:rPr>
              <w:t>0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на два </w:t>
            </w:r>
            <w:proofErr w:type="spellStart"/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гамма-кванта</w:t>
            </w:r>
            <w:proofErr w:type="spellEnd"/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аннигиляционная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кварковая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модель указывает на то, что ширина этого распада, определяемого треугольной аномалией, оказывается пропорциональной числу цветов кварков.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N.Bogolubov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B.Struminsky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JINR Preprint D-1968,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Dubna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 1965.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lastRenderedPageBreak/>
              <w:t>N.Bogolubov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V.Matveev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Nguen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Van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Hieu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D.Stoianov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B.Struminsky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V.Shelest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JINR Preprint P-2141,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Dubna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 1965.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V.Matveev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B.Struminsky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JINR Preprint P-2524,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Dubna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 1966.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 Proc. ICTP Seminar "High Energy Physics and Elementary Particles", (Trieste, 1965), Vienna, 1965, 753-762, 763-779.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 Proc. of the XIV Conf. on Particle Physics, Univ. of Brussels (Brussels, 1967), London, 1968, 145-154.</w:t>
            </w:r>
          </w:p>
        </w:tc>
      </w:tr>
      <w:tr w:rsidR="00B741FA" w:rsidRPr="00B741FA" w:rsidTr="00B741FA">
        <w:trPr>
          <w:tblCellSpacing w:w="15" w:type="dxa"/>
          <w:jc w:val="center"/>
        </w:trPr>
        <w:tc>
          <w:tcPr>
            <w:tcW w:w="12300" w:type="dxa"/>
            <w:shd w:val="clear" w:color="auto" w:fill="F5F5F5"/>
            <w:vAlign w:val="center"/>
            <w:hideMark/>
          </w:tcPr>
          <w:p w:rsidR="00B741FA" w:rsidRPr="00B741FA" w:rsidRDefault="00B741FA" w:rsidP="00B741F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</w:p>
          <w:p w:rsidR="00B741FA" w:rsidRPr="00B741FA" w:rsidRDefault="00B741FA" w:rsidP="001B262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800000"/>
                <w:sz w:val="18"/>
                <w:szCs w:val="20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Модель </w:t>
            </w:r>
            <w:proofErr w:type="spellStart"/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квазисвободных</w:t>
            </w:r>
            <w:proofErr w:type="spellEnd"/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кварков и масштабные законы при высоких </w:t>
            </w:r>
            <w:r w:rsidR="00A20533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энергия</w:t>
            </w:r>
            <w:r w:rsidR="001B2622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х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                                </w:t>
            </w:r>
            <w:r w:rsidR="001B2622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800000"/>
                <w:sz w:val="20"/>
                <w:szCs w:val="20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05000" cy="1238250"/>
                  <wp:effectExtent l="19050" t="0" r="0" b="0"/>
                  <wp:wrapSquare wrapText="bothSides"/>
                  <wp:docPr id="7" name="Рисунок 5" descr="Р.М.Мурадян, А.Н.Тавхелидзе,  В.А.Матвеев,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.М.Мурадян, А.Н.Тавхелидзе,  В.А.Матвеев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В 1969 году, основываясь на модели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квазисвободных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кварков, было предположено, что обнаруженные в экспериментах масштабные свойства высокоэнергетических процессов взаимодействия электронов с нуклонами являются общими для всех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глубоконеупругих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лептон-адронных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процессов и могут быть непосредственно выведены на основе принципа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автомодельности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самоподобия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).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Согласно принципу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автомодельности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формфакторы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частиц и другие характеристики процессов в области высоких энергий и больших переданных импульсов не зависят от каких-либо размерны</w:t>
            </w:r>
            <w:r w:rsidR="001B2622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х 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параметров, задающих масштаб характерных длин и импульсов, и являются однородными функциями релятивистски-инвариантных кинематических переменных. При этом степень однородности данных функций определяется их физической размерностью.</w:t>
            </w:r>
          </w:p>
          <w:p w:rsidR="00B741FA" w:rsidRPr="00B741FA" w:rsidRDefault="00B741FA" w:rsidP="00B741FA">
            <w:pPr>
              <w:spacing w:before="100" w:beforeAutospacing="1" w:after="240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Применение принципа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автомодельности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впервые позволило установить масштабные законы, описывающие спектр масс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мюонных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пар, образующихся при высоких энергиях в протонных столкновениях ρ + ρ </w:t>
            </w:r>
            <w:r w:rsidRPr="00B741FA">
              <w:rPr>
                <w:rFonts w:ascii="Arial" w:eastAsia="Times New Roman" w:hAnsi="Arial" w:cs="Arial"/>
                <w:color w:val="000066"/>
                <w:sz w:val="17"/>
                <w:szCs w:val="17"/>
                <w:lang w:eastAsia="ru-RU"/>
              </w:rPr>
              <w:t>→</w:t>
            </w:r>
            <w:r w:rsidRPr="00B741FA">
              <w:rPr>
                <w:rFonts w:ascii="Verdana" w:eastAsia="Times New Roman" w:hAnsi="Verdana" w:cs="Verdana"/>
                <w:color w:val="000066"/>
                <w:sz w:val="17"/>
                <w:szCs w:val="17"/>
                <w:lang w:eastAsia="ru-RU"/>
              </w:rPr>
              <w:t xml:space="preserve"> μ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perscript"/>
                <w:lang w:eastAsia="ru-RU"/>
              </w:rPr>
              <w:t>+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+ μ 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perscript"/>
                <w:lang w:eastAsia="ru-RU"/>
              </w:rPr>
              <w:t>-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+адроны</w:t>
            </w: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:</w:t>
            </w:r>
            <w:proofErr w:type="gramEnd"/>
          </w:p>
          <w:p w:rsidR="00B741FA" w:rsidRPr="00B741FA" w:rsidRDefault="00B741FA" w:rsidP="00B741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>
                  <wp:extent cx="1219200" cy="428625"/>
                  <wp:effectExtent l="19050" t="0" r="0" b="0"/>
                  <wp:docPr id="2" name="Рисунок 2" descr="D:\inr\tavkhelidze\i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r\tavkhelidze\i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1FA" w:rsidRPr="00B741FA" w:rsidRDefault="00B741FA" w:rsidP="00B741F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где M - эффективная масса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мюонной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пары, E - энергия сталкивающихся частиц. Данный масштабный закон был подтвержден в ходе экспериментальных исследований, начатых в 1970 г. группой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Л.Ледермана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Брукхэйвене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Впоследствии, именно в этих процессах был обнаружен новый класс адронов - J/Ψ частиц.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V.Matveev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R.Muradian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JINR Preprint P2-4578,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Dubna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, 1969.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V.Matveev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R.Muradian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. Elementary Particles and Atomic Nuclei 1971, v. 2, 7-32.</w:t>
            </w:r>
          </w:p>
        </w:tc>
      </w:tr>
      <w:tr w:rsidR="00B741FA" w:rsidRPr="00B741FA" w:rsidTr="00B741FA">
        <w:trPr>
          <w:tblCellSpacing w:w="15" w:type="dxa"/>
          <w:jc w:val="center"/>
        </w:trPr>
        <w:tc>
          <w:tcPr>
            <w:tcW w:w="12300" w:type="dxa"/>
            <w:shd w:val="clear" w:color="auto" w:fill="F5F5F5"/>
            <w:vAlign w:val="center"/>
            <w:hideMark/>
          </w:tcPr>
          <w:p w:rsidR="00B741FA" w:rsidRPr="00B741FA" w:rsidRDefault="00B741FA" w:rsidP="00B741F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lastRenderedPageBreak/>
              <w:t xml:space="preserve">Правила </w:t>
            </w:r>
            <w:proofErr w:type="spellStart"/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кваркового</w:t>
            </w:r>
            <w:proofErr w:type="spellEnd"/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счёта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В 1973 году в рамках модели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квазисвободных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кварков, основываясь на принципе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автомодельности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были установлены так называемые "правила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кваркового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счета". Правила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кваркового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счета определяют асимптотику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формфакторов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при больших передачах импульса Q = </w:t>
            </w: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>
                  <wp:extent cx="323850" cy="228600"/>
                  <wp:effectExtent l="19050" t="0" r="0" b="0"/>
                  <wp:docPr id="3" name="Рисунок 3" descr="D:\inr\tavkhelidze\i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r\tavkhelidze\i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и характер энергетической зависимости дифференциального сечения произвольной бинарной реакции рассеяния на большие углы при высоких энергиях E = </w:t>
            </w: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>
                  <wp:extent cx="228600" cy="228600"/>
                  <wp:effectExtent l="19050" t="0" r="0" b="0"/>
                  <wp:docPr id="4" name="Рисунок 4" descr="D:\inr\tavkhelidze\i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nr\tavkhelidze\i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:</w:t>
            </w:r>
          </w:p>
          <w:p w:rsidR="00B741FA" w:rsidRPr="00B741FA" w:rsidRDefault="00B741FA" w:rsidP="00B741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>
                  <wp:extent cx="1638300" cy="476250"/>
                  <wp:effectExtent l="19050" t="0" r="0" b="0"/>
                  <wp:docPr id="5" name="Рисунок 5" descr="D:\inr\tavkhelidze\i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inr\tavkhelidze\i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1FA" w:rsidRPr="00B741FA" w:rsidRDefault="00B741FA" w:rsidP="00B741F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Здесь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=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a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+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b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+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c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+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d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- полное число элементарных составляющих адронов, участвующих в реакции. При этом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b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=1, если частица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b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- бесструктурный лептон. Функция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f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(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t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/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s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), зависящая лишь от отношения больших кинематических переменных, является размерной величиной, причем в качестве естественного масштаба здесь выступает эффективный размер частицы. Степенной асимптотический закон указывает на факторизацию эффектов больших и малых расстояний.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V.Matveev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R.Muradian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Lett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</w:t>
            </w: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al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Nuovo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Cim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. 1973, v. </w:t>
            </w: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>7 ,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719-723.</w:t>
            </w:r>
          </w:p>
        </w:tc>
      </w:tr>
      <w:tr w:rsidR="00B741FA" w:rsidRPr="00B741FA" w:rsidTr="00B741FA">
        <w:trPr>
          <w:tblCellSpacing w:w="15" w:type="dxa"/>
          <w:jc w:val="center"/>
        </w:trPr>
        <w:tc>
          <w:tcPr>
            <w:tcW w:w="12300" w:type="dxa"/>
            <w:shd w:val="clear" w:color="auto" w:fill="F5F5F5"/>
            <w:vAlign w:val="center"/>
            <w:hideMark/>
          </w:tcPr>
          <w:p w:rsidR="00B741FA" w:rsidRPr="00B741FA" w:rsidRDefault="00B741FA" w:rsidP="00B741F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Масштабно-инвариантные асимптотики в локальной квантовой теории поля.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Масштабная инвариантность, наблюдаемая в </w:t>
            </w:r>
            <w:proofErr w:type="spellStart"/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адрон-лептонных</w:t>
            </w:r>
            <w:proofErr w:type="spellEnd"/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глубоконеупругих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процесах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инклюзивных и бинарных реакциях при высоких энергиях, поставила вопрос о наиболее общих требованиях к теоретико-полевой модели, в которой возможно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скейлинговое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поведение.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В связи с этим исследовалось поведение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формфакторов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W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1,2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глубоконеупругого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рассеяния электронов на нуклонах в так называемом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бьеркеновском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пределе, изучавшееся ранее </w:t>
            </w: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Дж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Бьеркеном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(1968). В рамках локальной теории поля было доказано, что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формфакторы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W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1,2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являются причинными функциями. Используя представление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Йоста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-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Лемана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- Дайсона для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формфакторов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 были сформулированы достаточные условия, обеспечивающие выполнение масштабных свойств W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vertAlign w:val="subscript"/>
                <w:lang w:eastAsia="ru-RU"/>
              </w:rPr>
              <w:t>1,2</w:t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В модели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квазисвободных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кварков эти условия являются и необходимыми, что обеспечивает существование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бьеркеновского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скейлинга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 локальной квантовой теории поля. Была установлена точная взаимосвязь асимптотических свой</w:t>
            </w:r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ств стр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уктурных функций с поведением коммутаторов локальных токов в окрестности светового конуса.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N.Bogolubov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V.Vladimirov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Theor.Mat.Phys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1972, v.12, 3-17.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N.Bogolubov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V.Vladimirov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Theor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Mat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Phys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1972,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12 , 305-329.</w:t>
            </w:r>
          </w:p>
        </w:tc>
      </w:tr>
      <w:tr w:rsidR="00B741FA" w:rsidRPr="00B741FA" w:rsidTr="00B741FA">
        <w:trPr>
          <w:tblCellSpacing w:w="15" w:type="dxa"/>
          <w:jc w:val="center"/>
        </w:trPr>
        <w:tc>
          <w:tcPr>
            <w:tcW w:w="12300" w:type="dxa"/>
            <w:shd w:val="clear" w:color="auto" w:fill="F5F5F5"/>
            <w:vAlign w:val="center"/>
            <w:hideMark/>
          </w:tcPr>
          <w:p w:rsidR="00B741FA" w:rsidRPr="00B741FA" w:rsidRDefault="00B741FA" w:rsidP="00B741F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  <w:p w:rsidR="001B2622" w:rsidRDefault="001B2622" w:rsidP="00B741F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lastRenderedPageBreak/>
              <w:t>Несохранение</w:t>
            </w:r>
            <w:proofErr w:type="spellEnd"/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фермионного</w:t>
            </w:r>
            <w:proofErr w:type="spellEnd"/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и барионного чисел в калибровочных теориях</w:t>
            </w:r>
            <w:r w:rsidRPr="00B741F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br/>
              <w:t>и структура основного состояния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800000"/>
                <w:sz w:val="20"/>
                <w:szCs w:val="20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57375" cy="1238250"/>
                  <wp:effectExtent l="19050" t="0" r="9525" b="0"/>
                  <wp:wrapSquare wrapText="bothSides"/>
                  <wp:docPr id="6" name="Рисунок 6" descr="В.А.Рубаков, А.Н.Тавхелидз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.А.Рубаков, А.Н.Тавхелидз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В </w:t>
            </w:r>
            <w:proofErr w:type="spellStart"/>
            <w:proofErr w:type="gram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c</w:t>
            </w:r>
            <w:proofErr w:type="gram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тандартной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модели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электрослабых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взаимодействий была решена проблема нестабильности нормальной барионной материи в экстремальных условиях сверхвысоких плотностей. Показано, что сложная структура вакуума калибровочной теории и связанное с ней "сильное"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несохранение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фермионных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квантовых чисел является тем ключевым свойством, которое позволяет сделать заключение о нестабильности сверхплотной барионной материи.</w:t>
            </w:r>
          </w:p>
          <w:p w:rsid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Принципиально важным результатом этих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иследовний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является вывод о возможности существования в природе процессов интенсивного распада нормального вещества при контакте с каплей сверхплотной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фермионной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материи, сопровождаемого мощным выделением энергии.</w:t>
            </w:r>
          </w:p>
          <w:p w:rsidR="00A20533" w:rsidRPr="00B741FA" w:rsidRDefault="00A20533" w:rsidP="00A2053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В.А.Рубаков</w:t>
            </w:r>
            <w:proofErr w:type="spellEnd"/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А.Н.Тавхелидзе</w:t>
            </w:r>
            <w:proofErr w:type="spellEnd"/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 рамках теории "великого объединения" была предложена модель калибровочного взаимодействия со сверхслабым СР-нарушением, которая одновременно описывала как эффект СР-нарушения в редких К-распадах, так и возникновение барионной асимметрии.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V.Matveev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V.Rubakov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M.Shaposhnikov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Usp.Phys.Nauk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1988, v.156, 253-295.</w:t>
            </w:r>
          </w:p>
          <w:p w:rsidR="00B741FA" w:rsidRPr="00B741FA" w:rsidRDefault="00B741FA" w:rsidP="00B741F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A.Ignatiev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N.Krasnikov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V.Kuzmin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A.Tavkhelidze</w:t>
            </w:r>
            <w:proofErr w:type="spellEnd"/>
            <w:r w:rsidRPr="00B741F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Phys.Lett.1978, v.76 B, 436-438.</w:t>
            </w:r>
          </w:p>
        </w:tc>
      </w:tr>
    </w:tbl>
    <w:p w:rsidR="00877D00" w:rsidRDefault="00877D00"/>
    <w:sectPr w:rsidR="00877D00" w:rsidSect="00B741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1FA"/>
    <w:rsid w:val="001B2622"/>
    <w:rsid w:val="00877D00"/>
    <w:rsid w:val="00A20533"/>
    <w:rsid w:val="00B7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00"/>
  </w:style>
  <w:style w:type="paragraph" w:styleId="3">
    <w:name w:val="heading 3"/>
    <w:basedOn w:val="a"/>
    <w:link w:val="30"/>
    <w:uiPriority w:val="9"/>
    <w:qFormat/>
    <w:rsid w:val="00B741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41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41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4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41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webSettings" Target="webSettings.xml"/><Relationship Id="rId7" Type="http://schemas.openxmlformats.org/officeDocument/2006/relationships/hyperlink" Target="file:///D:\inr\tavkhelidze\cvet.html" TargetMode="External"/><Relationship Id="rId12" Type="http://schemas.openxmlformats.org/officeDocument/2006/relationships/image" Target="media/image8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gi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2025-01-17T06:32:00Z</dcterms:created>
  <dcterms:modified xsi:type="dcterms:W3CDTF">2025-01-17T06:55:00Z</dcterms:modified>
</cp:coreProperties>
</file>