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91D5" w14:textId="77777777" w:rsidR="00BE203D" w:rsidRPr="00BE203D" w:rsidRDefault="00BE203D" w:rsidP="00BE203D">
      <w:pPr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</w:pPr>
      <w:r w:rsidRPr="00BE203D">
        <w:rPr>
          <w:rFonts w:ascii="Verdana" w:eastAsia="Times New Roman" w:hAnsi="Verdana" w:cs="Times New Roman"/>
          <w:b/>
          <w:bCs/>
          <w:color w:val="800000"/>
          <w:sz w:val="18"/>
          <w:szCs w:val="18"/>
          <w:lang w:eastAsia="ru-RU"/>
        </w:rPr>
        <w:t>Региональные конкурсы на получение грантов РНФ</w:t>
      </w:r>
    </w:p>
    <w:p w14:paraId="1E88992F" w14:textId="77777777" w:rsidR="00BE203D" w:rsidRPr="00BE203D" w:rsidRDefault="00BE203D" w:rsidP="00BE203D">
      <w:pPr>
        <w:spacing w:after="0" w:line="240" w:lineRule="auto"/>
        <w:jc w:val="center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 w:rsidRPr="00BE203D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>Уважаемые коллеги,</w:t>
      </w:r>
    </w:p>
    <w:p w14:paraId="5A18A9FC" w14:textId="77777777" w:rsidR="00BE203D" w:rsidRPr="00BE203D" w:rsidRDefault="00BE203D" w:rsidP="00BE203D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Информируем Вас об объявлении Российским научным фондом (далее - РНФ) открытых публичных конкурсов на получение грантов по приоритетному направлению деятельности РНФ "Проведение фундаментальных научных исследований и поисковых научных исследований малыми отдельными научными группами" и "Проведение фундаментальных научных исследований и поисковых научных исследований отдельными научными группами" (региональные конкурсы).</w:t>
      </w:r>
    </w:p>
    <w:p w14:paraId="7F3E2034" w14:textId="77777777" w:rsidR="00BE203D" w:rsidRPr="00BE203D" w:rsidRDefault="00BE203D" w:rsidP="00BE203D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Гранты выделяются на осуществление фундаментальных и поисковых научных исследований в 2026-2027 годах по отраслям знаний, указанным в конкурсной документации.</w:t>
      </w:r>
    </w:p>
    <w:p w14:paraId="0D666E2B" w14:textId="77777777" w:rsidR="00BE203D" w:rsidRPr="00BE203D" w:rsidRDefault="00BE203D" w:rsidP="00BE203D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В данных конкурсах могут принимать участие проекты научных коллективов, реализуемые на базе образовательных организаций высшего образования и научных организаций, находящихся на территории города Москвы.</w:t>
      </w:r>
    </w:p>
    <w:p w14:paraId="2D9D2417" w14:textId="19EBAE72" w:rsidR="00BE203D" w:rsidRPr="00BE203D" w:rsidRDefault="00BE203D" w:rsidP="00BE203D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Научное исследование должно быть направлено на решение задач приоритетных направлений мегаполиса и его социально-экономического развития. Перечень приоритетных направлений научных исследований для потребностей города Москвы, поддерживаемых Правительством Москвы:</w:t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>1. переход к передовым технологиям проектирования и создания высокотехнологичной продукции, основанным на применении интеллектуальных производственных решений, роботизированных и высокопроизводительных вычислительных систем, новых материалов и химических соединений, результатов обработки больших объемов данных, технологий машинного обучения и искусственного интеллекта;</w:t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>2. 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 энергии, способов ее передачи</w:t>
      </w:r>
      <w:r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</w:t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и хранения;</w:t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>3. формирование комфортной и безопасной жилой среды, среды деятельности человека в условиях мегаполиса, в том числе на основе инноваций, научного потенциала и достижений архитектуры, градостроительства и строительных наук;</w:t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 xml:space="preserve">4. переход к персонализированной, предиктивной и профилактической медицине, высокотехнологичному здравоохранению и технологиям </w:t>
      </w:r>
      <w:proofErr w:type="spellStart"/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здоровьесбережения</w:t>
      </w:r>
      <w:proofErr w:type="spellEnd"/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, в том числе за счет рационального применения лекарственных препаратов (прежде всего антибактериальных) и использования генетических данных и технологий;</w:t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 xml:space="preserve">5. противодействие техногенным, биогенным, социокультурным угрозам, терроризму и экстремистской идеологии, деструктивному иностранному информационно-психологическому воздействию, а также </w:t>
      </w:r>
      <w:proofErr w:type="spellStart"/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киберугрозам</w:t>
      </w:r>
      <w:proofErr w:type="spellEnd"/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и иным источникам опасности для общества, экономики и государства, укрепление обороноспособности и национальной безопасности страны в условиях роста гибридных угроз;</w:t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>6. возможность эффективного ответа российского общества на большие вызовы с учетом возрастающей актуальности синтетических научных дисциплин, созданных на стыке психологии, социологии, политологии, истории и научных исследований, связанных с этическими аспектами научно-технологического развития, изменениями социальных, политических и экономических отношений;</w:t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>7. трансформация образования и взаимодействия участников образовательных отношений в мегаполисе в условиях изменяющегося социума;</w:t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 xml:space="preserve">8. обеспечение технологического суверенитета, импортозамещения, </w:t>
      </w:r>
      <w:proofErr w:type="spellStart"/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импортоопережения</w:t>
      </w:r>
      <w:proofErr w:type="spellEnd"/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, суверенитета данных в сфере науки и технологий в условиях геополитического и санкционного давления;</w:t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>9. объективная оценка выбросов и поглощения климатически активных веществ, снижение их негативного воздействия на окружающую среду и климат, повышение возможности качественной адаптации экосистем, населения и отраслей экономики к климатическим изменениям;</w:t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br/>
        <w:t xml:space="preserve">10. переход к развитию </w:t>
      </w:r>
      <w:proofErr w:type="spellStart"/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природоподобных</w:t>
      </w:r>
      <w:proofErr w:type="spellEnd"/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 xml:space="preserve"> технологий, воспроизводящих системы и процессы живой природы в виде технических систем и технологических процессов, интегрированных в природную среду и естественный природный </w:t>
      </w:r>
      <w:proofErr w:type="spellStart"/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ресурсооборот</w:t>
      </w:r>
      <w:proofErr w:type="spellEnd"/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.</w:t>
      </w:r>
    </w:p>
    <w:p w14:paraId="007E503D" w14:textId="77777777" w:rsidR="00BE203D" w:rsidRPr="00BE203D" w:rsidRDefault="00BE203D" w:rsidP="00BE203D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Просим проинформировать о возможности участия в конкурсах сотрудников ваших организаций.</w:t>
      </w:r>
    </w:p>
    <w:p w14:paraId="08D8EB63" w14:textId="77777777" w:rsidR="00BE203D" w:rsidRPr="00BE203D" w:rsidRDefault="00BE203D" w:rsidP="00BE203D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lastRenderedPageBreak/>
        <w:t>Заявка на конкурсы представляется не позднее </w:t>
      </w:r>
      <w:r w:rsidRPr="00BE203D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>17 часов 00 минут (по московскому времени) 2 октября 2025 года</w:t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 в виде электронного документа, подписанного через Информационно-аналитическую систему Фонда в информационно-телекоммуникационной сети "Интернет" по адресу https://ias.rscf.ru.</w:t>
      </w:r>
    </w:p>
    <w:p w14:paraId="04CAE36D" w14:textId="77777777" w:rsidR="00BE203D" w:rsidRPr="00BE203D" w:rsidRDefault="00BE203D" w:rsidP="00BE203D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Результаты конкурсов утверждаются правлением Фонда в срок по 3 марта 2026 года включительно и размещаются на сайте Фонда в сети "Интернет"</w:t>
      </w:r>
    </w:p>
    <w:p w14:paraId="76837CE3" w14:textId="77777777" w:rsidR="00BE203D" w:rsidRPr="00BE203D" w:rsidRDefault="00BE203D" w:rsidP="00BE203D">
      <w:pPr>
        <w:spacing w:before="100" w:beforeAutospacing="1" w:after="100" w:afterAutospacing="1" w:line="240" w:lineRule="auto"/>
        <w:ind w:firstLine="450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Полный текст конкурсной документации, Порядок конкурсного отбора научных, научно-технических программ и проектов, Порядок проведения экспертизы научных и научно-технических программ и проектов и Критерии конкурсного отбора научных, научно-технических программ и проектов опубликованы на сайте Фонда в сети "Интернет" по адресам </w:t>
      </w:r>
      <w:r w:rsidRPr="00BE203D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>www.рнф.рф</w:t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 и </w:t>
      </w:r>
      <w:r w:rsidRPr="00BE203D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>www.rscf.ru</w:t>
      </w:r>
      <w:r w:rsidRPr="00BE203D"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  <w:t> в разделе Конкурсы (конкурс № 119 и 120).</w:t>
      </w:r>
    </w:p>
    <w:p w14:paraId="243AF723" w14:textId="77777777" w:rsidR="00B02B3B" w:rsidRDefault="00B02B3B" w:rsidP="00BE203D"/>
    <w:sectPr w:rsidR="00B0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3D"/>
    <w:rsid w:val="00B02B3B"/>
    <w:rsid w:val="00B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3E97"/>
  <w15:chartTrackingRefBased/>
  <w15:docId w15:val="{9BD31C80-35F7-4D2C-9469-8E23B890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03D"/>
  </w:style>
  <w:style w:type="paragraph" w:styleId="1">
    <w:name w:val="heading 1"/>
    <w:basedOn w:val="a"/>
    <w:next w:val="a"/>
    <w:link w:val="10"/>
    <w:uiPriority w:val="9"/>
    <w:qFormat/>
    <w:rsid w:val="00BE20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03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0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03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BE203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03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03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03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03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E203D"/>
    <w:rPr>
      <w:smallCaps/>
      <w:color w:val="538135" w:themeColor="accent6" w:themeShade="BF"/>
      <w:spacing w:val="10"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BE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203D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203D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203D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E203D"/>
    <w:rPr>
      <w:i/>
      <w:iCs/>
      <w:smallCaps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203D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E203D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E203D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BE203D"/>
    <w:rPr>
      <w:b/>
      <w:bCs/>
      <w:i/>
      <w:iCs/>
      <w:smallCaps/>
      <w:color w:val="385623" w:themeColor="accent6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BE203D"/>
    <w:rPr>
      <w:b/>
      <w:bCs/>
      <w:caps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BE203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BE203D"/>
    <w:rPr>
      <w:smallCaps/>
      <w:color w:val="262626" w:themeColor="text1" w:themeTint="D9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E203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BE203D"/>
    <w:rPr>
      <w:rFonts w:asciiTheme="majorHAnsi" w:eastAsiaTheme="majorEastAsia" w:hAnsiTheme="majorHAnsi" w:cstheme="majorBidi"/>
    </w:rPr>
  </w:style>
  <w:style w:type="character" w:styleId="a9">
    <w:name w:val="Strong"/>
    <w:uiPriority w:val="22"/>
    <w:qFormat/>
    <w:rsid w:val="00BE203D"/>
    <w:rPr>
      <w:b/>
      <w:bCs/>
      <w:color w:val="70AD47" w:themeColor="accent6"/>
    </w:rPr>
  </w:style>
  <w:style w:type="character" w:styleId="aa">
    <w:name w:val="Emphasis"/>
    <w:uiPriority w:val="20"/>
    <w:qFormat/>
    <w:rsid w:val="00BE203D"/>
    <w:rPr>
      <w:b/>
      <w:bCs/>
      <w:i/>
      <w:iCs/>
      <w:spacing w:val="10"/>
    </w:rPr>
  </w:style>
  <w:style w:type="paragraph" w:styleId="ab">
    <w:name w:val="No Spacing"/>
    <w:uiPriority w:val="1"/>
    <w:qFormat/>
    <w:rsid w:val="00BE203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E203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E203D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BE203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BE203D"/>
    <w:rPr>
      <w:b/>
      <w:bCs/>
      <w:i/>
      <w:iCs/>
    </w:rPr>
  </w:style>
  <w:style w:type="character" w:styleId="ae">
    <w:name w:val="Subtle Emphasis"/>
    <w:uiPriority w:val="19"/>
    <w:qFormat/>
    <w:rsid w:val="00BE203D"/>
    <w:rPr>
      <w:i/>
      <w:iCs/>
    </w:rPr>
  </w:style>
  <w:style w:type="character" w:styleId="af">
    <w:name w:val="Intense Emphasis"/>
    <w:uiPriority w:val="21"/>
    <w:qFormat/>
    <w:rsid w:val="00BE203D"/>
    <w:rPr>
      <w:b/>
      <w:bCs/>
      <w:i/>
      <w:iCs/>
      <w:color w:val="70AD47" w:themeColor="accent6"/>
      <w:spacing w:val="10"/>
    </w:rPr>
  </w:style>
  <w:style w:type="character" w:styleId="af0">
    <w:name w:val="Subtle Reference"/>
    <w:uiPriority w:val="31"/>
    <w:qFormat/>
    <w:rsid w:val="00BE203D"/>
    <w:rPr>
      <w:b/>
      <w:bCs/>
    </w:rPr>
  </w:style>
  <w:style w:type="character" w:styleId="af1">
    <w:name w:val="Intense Reference"/>
    <w:uiPriority w:val="32"/>
    <w:qFormat/>
    <w:rsid w:val="00BE203D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BE203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BE203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2025-09-09T06:13:00Z</dcterms:created>
  <dcterms:modified xsi:type="dcterms:W3CDTF">2025-09-09T06:24:00Z</dcterms:modified>
</cp:coreProperties>
</file>