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37" w:type="dxa"/>
        <w:shd w:val="clear" w:color="auto" w:fill="F5F5F5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50"/>
      </w:tblGrid>
      <w:tr w:rsidR="00676AE9" w:rsidRPr="00676AE9" w:rsidTr="00676AE9">
        <w:trPr>
          <w:tblCellSpacing w:w="37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676AE9" w:rsidRPr="00676AE9" w:rsidRDefault="00676AE9" w:rsidP="00676AE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AEGIS - Исследование фундаментальных гравитационных свойств </w:t>
            </w:r>
            <w:proofErr w:type="spellStart"/>
            <w:r w:rsidRPr="00676AE9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антиматерии</w:t>
            </w:r>
            <w:proofErr w:type="spellEnd"/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gram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 эксперименте AEGIS -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Antimatter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Experiment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Gravity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Interferometry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Spectroscopy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- по изучению гравитационных свойств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антиматерии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спектроскопии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в ЦЕРН предполагается впервые в мире провести измерения ускорения свободного падения свободных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а также получить данные по спектроскопии возбужденных состояний этих атомов с целью проверки CPT теоремы об эквивалентности свойств материи и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антиматерии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  <w:proofErr w:type="gram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Программой эксперимента предполагается проведение широкомасштабных исследований в области физики позитрония, которые включают в себя поиски новой физики в распадах или реакциях позитрония. Программа этих исследований была теоретически обоснована и предложена сотрудниками ИЯИ РАН. Экспериментальная регистрация отличия в величинах ускорения свободного падения атома водорода и атома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было бы важнейшим открытием в фундаментальных исследованиях в области физики элементарных частиц.</w:t>
            </w:r>
          </w:p>
          <w:p w:rsidR="00676AE9" w:rsidRPr="00676AE9" w:rsidRDefault="00676AE9" w:rsidP="00676A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>
                  <wp:extent cx="5924550" cy="2914650"/>
                  <wp:effectExtent l="19050" t="0" r="0" b="0"/>
                  <wp:docPr id="1" name="Рисунок 1" descr="https://www.inr.ru/rus/ins_sotr/cern/aegi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r.ru/rus/ins_sotr/cern/aegi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Общий проектный вид установки AEGIS</w:t>
            </w:r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gram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AEGIS является первым в мире экспериментом, использующим крупномасштабный многоцелевой детектор на антипротонном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декселераторе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в ЦЕРН, открывающим новые перспективы для исследования широкого круга фундаментальных проблем в области физики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антиматерии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поиска новых явлений, лежащих за пределами Стандартной Модели физики элементарных частиц.</w:t>
            </w:r>
            <w:proofErr w:type="gramEnd"/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Для получения пучков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необходимо синтезировать в установке большое количество атомов </w:t>
            </w: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t xml:space="preserve">позитрония, который служит источником формирования холодных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. Для решения этой задачи сконструирован при участии сотрудников ИЯИ РАН накопитель позитронов, состоящий из высокоинтенсивного радиоактивного источника позитронов, ловушки медленных позитронов и прецизионного соленоида. </w:t>
            </w:r>
            <w:proofErr w:type="gram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Создание накопителя выделено в отдельный под проект создания установки AEGIS.</w:t>
            </w:r>
            <w:proofErr w:type="gramEnd"/>
          </w:p>
          <w:p w:rsidR="00676AE9" w:rsidRPr="00676AE9" w:rsidRDefault="00676AE9" w:rsidP="00676A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>
                  <wp:extent cx="6391275" cy="3810000"/>
                  <wp:effectExtent l="19050" t="0" r="9525" b="0"/>
                  <wp:docPr id="2" name="Рисунок 2" descr="https://www.inr.ru/rus/ins_sotr/cern/aeg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nr.ru/rus/ins_sotr/cern/aeg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AE9" w:rsidRPr="00676AE9" w:rsidRDefault="00676AE9" w:rsidP="00676AE9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Общий вид накопителя позитронов в собранном виде с каналом транспортировки медленных позитронов (наклонный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ионопровод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на переднем плане) из накопителя позитронов в главный магнит установки.</w:t>
            </w:r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u w:val="single"/>
                <w:lang w:eastAsia="ru-RU"/>
              </w:rPr>
              <w:t xml:space="preserve">Предложение ИЯИ РАН по формированию направленного пучка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u w:val="single"/>
                <w:lang w:eastAsia="ru-RU"/>
              </w:rPr>
              <w:t>антиводорода</w:t>
            </w:r>
            <w:proofErr w:type="spellEnd"/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В AEGIS предполагается осуществить формирование пучка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ускорением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антиатомов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в </w:t>
            </w: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t xml:space="preserve">высоковозбужденных состояниях в градиентном электрическом поле. Однако в этом методе неизбежны потери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антиатомов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так как в высоковозбужденных состояниях будут возникать состояния с различными значениями электрического дипольного момента. По этой же причине распределение атомов по скоростям будет иметь большую ширину. Альтернативный метод формирования пучка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был предложен сотрудниками ИЯИ РАН (А. Белов). Метод заключается в ускорении антипротонов импульсным электрическим полем наносекундной длительности непосредственно перед зарядово-обменными столкновениями антипротонов и атомов позитрония в высоковозбужденных состояниях. Сформированные в результате реакции перезарядки между антипротонами и позитронием атомы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ввиду их гораздо большей массы, сохранят первичное направление движения антипротонов. Таким образом, на выходе из области формирования получится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коллимированный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пучок холодных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. Схема такого способа формирования пучка атомов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антиводорода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по заключению совещания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коллаборации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является очень перспективной. По решению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коллаборации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эта схема в настоящее время находится в стадии изучения и анализа.</w:t>
            </w:r>
          </w:p>
          <w:p w:rsidR="00676AE9" w:rsidRPr="00676AE9" w:rsidRDefault="00676AE9" w:rsidP="00676AE9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Предложение ИЯИ РАН по поиску новой физики в распадах позитрония Получение большого количества атомов позитрония позволяет осуществить также поиск других редких процессов, таких как распад позитрония в два фотона за счет нового типа взаимодействия, нарушающего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бозе-симметрию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известную теорему Ландау-Янга. В недавней работе сотрудников ИЯИ РАН С.Н.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Гниненко</w:t>
            </w:r>
            <w:proofErr w:type="spellEnd"/>
            <w:proofErr w:type="gram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А.Ю. Игнатьева и В.А. Матвеева был проведен анализ такого типа взаимодействия. Получено выражение для вероятности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двухфотонного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распада. Проведённый анализ дает возможность приступить к проектированию нового эксперимента по поиску этого распада на AEGIS. Ожидаемая чувствительность AEGIS сравнима с </w:t>
            </w:r>
            <w:proofErr w:type="gram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ожидаемой</w:t>
            </w:r>
            <w:proofErr w:type="gram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на LHC, полученной из ограничений по поиску 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двухфотонного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распада калибровочного бозона Z и/или нового тяжелого калибровочного бозона Z.</w:t>
            </w:r>
          </w:p>
        </w:tc>
      </w:tr>
      <w:tr w:rsidR="00676AE9" w:rsidRPr="00676AE9" w:rsidTr="00676AE9">
        <w:trPr>
          <w:tblCellSpacing w:w="37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676AE9" w:rsidRPr="00676AE9" w:rsidRDefault="00676AE9" w:rsidP="00676A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br/>
            </w: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>
                  <wp:extent cx="4762500" cy="28575"/>
                  <wp:effectExtent l="19050" t="0" r="0" b="0"/>
                  <wp:docPr id="3" name="Рисунок 3" descr="https://www.inr.ru/ln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nr.ru/ln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7" w:tgtFrame="_parent" w:history="1">
              <w:r w:rsidRPr="00676AE9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WWW.INR.RU</w:t>
              </w:r>
            </w:hyperlink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2001 © </w:t>
            </w:r>
            <w:proofErr w:type="spellStart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fldChar w:fldCharType="begin"/>
            </w: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instrText xml:space="preserve"> HYPERLINK "mailto:sit@inr.ru" </w:instrText>
            </w:r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fldChar w:fldCharType="separate"/>
            </w:r>
            <w:r w:rsidRPr="00676AE9">
              <w:rPr>
                <w:rFonts w:ascii="Verdana" w:eastAsia="Times New Roman" w:hAnsi="Verdana" w:cs="Times New Roman"/>
                <w:color w:val="800000"/>
                <w:sz w:val="17"/>
                <w:u w:val="single"/>
                <w:lang w:eastAsia="ru-RU"/>
              </w:rPr>
              <w:t>webmasters</w:t>
            </w:r>
            <w:proofErr w:type="spellEnd"/>
            <w:r w:rsidRPr="00676AE9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fldChar w:fldCharType="end"/>
            </w:r>
          </w:p>
        </w:tc>
      </w:tr>
    </w:tbl>
    <w:p w:rsidR="00614EEC" w:rsidRDefault="00614EEC"/>
    <w:sectPr w:rsidR="00614EEC" w:rsidSect="00676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AE9"/>
    <w:rsid w:val="00614EEC"/>
    <w:rsid w:val="0067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C"/>
  </w:style>
  <w:style w:type="paragraph" w:styleId="5">
    <w:name w:val="heading 5"/>
    <w:basedOn w:val="a"/>
    <w:link w:val="50"/>
    <w:uiPriority w:val="9"/>
    <w:qFormat/>
    <w:rsid w:val="00676A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6A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7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A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2025-02-03T12:29:00Z</dcterms:created>
  <dcterms:modified xsi:type="dcterms:W3CDTF">2025-02-03T12:33:00Z</dcterms:modified>
</cp:coreProperties>
</file>