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3C9B" w14:textId="73BE62DA" w:rsidR="00FE1509" w:rsidRDefault="00FE1509" w:rsidP="00FE1509">
      <w:pPr>
        <w:pStyle w:val="aa"/>
        <w:spacing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  <w:bookmarkStart w:id="0" w:name="_Hlk4759290"/>
      <w:bookmarkEnd w:id="0"/>
      <w:r w:rsidRPr="00851726">
        <w:rPr>
          <w:b/>
          <w:bCs/>
          <w:color w:val="000000"/>
        </w:rPr>
        <w:t>Важнейшие достижения Института ядерных исследований Российской академии наук в</w:t>
      </w:r>
      <w:r>
        <w:rPr>
          <w:b/>
          <w:bCs/>
          <w:color w:val="000000"/>
        </w:rPr>
        <w:t xml:space="preserve"> 3</w:t>
      </w:r>
      <w:r w:rsidRPr="00851726">
        <w:rPr>
          <w:b/>
          <w:bCs/>
          <w:color w:val="000000"/>
        </w:rPr>
        <w:t xml:space="preserve"> квартале 202</w:t>
      </w:r>
      <w:r>
        <w:rPr>
          <w:b/>
          <w:bCs/>
          <w:color w:val="000000"/>
        </w:rPr>
        <w:t>3</w:t>
      </w:r>
      <w:r w:rsidRPr="00851726">
        <w:rPr>
          <w:b/>
          <w:bCs/>
          <w:color w:val="000000"/>
        </w:rPr>
        <w:t xml:space="preserve"> года</w:t>
      </w:r>
    </w:p>
    <w:p w14:paraId="6C07E158" w14:textId="77777777" w:rsidR="00FE1509" w:rsidRPr="00851726" w:rsidRDefault="00FE1509" w:rsidP="00FE1509">
      <w:pPr>
        <w:pStyle w:val="aa"/>
        <w:spacing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</w:p>
    <w:p w14:paraId="055CE169" w14:textId="6063E200" w:rsidR="00FE1509" w:rsidRDefault="00FE1509" w:rsidP="00FE1509">
      <w:pPr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Сотрудниками Института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третьем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квартале опубликовано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научных стат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высокорейтинговых журналах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сборниках 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докладов на международных конференциях. Наиболее важные достижения перечислены ниже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9876CA4" w14:textId="6051F15D" w:rsidR="003F77C0" w:rsidRDefault="00000000">
      <w:pPr>
        <w:ind w:left="720"/>
        <w:jc w:val="center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Исследованы корреляции направлений прихода нейтринных событий на глубоководном нейтринном телескопе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Baikal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-GVD с высокоэнергетическими астрофизическими источниками</w:t>
      </w:r>
    </w:p>
    <w:p w14:paraId="4B5F92CA" w14:textId="77777777" w:rsidR="003F77C0" w:rsidRDefault="00000000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Исследован набор каскадных событий </w:t>
      </w:r>
      <w:proofErr w:type="spellStart"/>
      <w:r>
        <w:rPr>
          <w:rFonts w:ascii="Times New Roman" w:hAnsi="Times New Roman"/>
          <w:sz w:val="24"/>
          <w:szCs w:val="24"/>
        </w:rPr>
        <w:t>Baikal</w:t>
      </w:r>
      <w:proofErr w:type="spellEnd"/>
      <w:r>
        <w:rPr>
          <w:rFonts w:ascii="Times New Roman" w:hAnsi="Times New Roman"/>
          <w:sz w:val="24"/>
          <w:szCs w:val="24"/>
        </w:rPr>
        <w:t xml:space="preserve">-GVD, собранный в 2018-2022 годах, с целью определения возможных связей между нейтрино </w:t>
      </w:r>
      <w:proofErr w:type="spellStart"/>
      <w:r>
        <w:rPr>
          <w:rFonts w:ascii="Times New Roman" w:hAnsi="Times New Roman"/>
          <w:sz w:val="24"/>
          <w:szCs w:val="24"/>
        </w:rPr>
        <w:t>Baikal</w:t>
      </w:r>
      <w:proofErr w:type="spellEnd"/>
      <w:r>
        <w:rPr>
          <w:rFonts w:ascii="Times New Roman" w:hAnsi="Times New Roman"/>
          <w:sz w:val="24"/>
          <w:szCs w:val="24"/>
        </w:rPr>
        <w:t xml:space="preserve">-GVD и известными астрофизическими источниками. Мы опираемся на относительно высокое угловое разрешение нейтринного телескопа </w:t>
      </w:r>
      <w:proofErr w:type="spellStart"/>
      <w:r>
        <w:rPr>
          <w:rFonts w:ascii="Times New Roman" w:hAnsi="Times New Roman"/>
          <w:sz w:val="24"/>
          <w:szCs w:val="24"/>
        </w:rPr>
        <w:t>Baikal</w:t>
      </w:r>
      <w:proofErr w:type="spellEnd"/>
      <w:r>
        <w:rPr>
          <w:rFonts w:ascii="Times New Roman" w:hAnsi="Times New Roman"/>
          <w:sz w:val="24"/>
          <w:szCs w:val="24"/>
        </w:rPr>
        <w:t xml:space="preserve">-GVD (2-3 градуса), которое стало возможным благодаря использованию жидкой воды в качестве среды обнаружения. Такая величина углового разрешения позволяет исследовать астрофизические точечные источники с помощью каскадных событий. Для каскадных событий с энергиями, превышающими 100 ТэВ, исследованы корреляции с радио-яркими </w:t>
      </w:r>
      <w:proofErr w:type="spellStart"/>
      <w:r>
        <w:rPr>
          <w:rFonts w:ascii="Times New Roman" w:hAnsi="Times New Roman"/>
          <w:sz w:val="24"/>
          <w:szCs w:val="24"/>
        </w:rPr>
        <w:t>блазарами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. Несмотря на то, что на текущем наборе данных не обнаружено статистически значимых эффектов, анализ указывает на ряд возможных ассоциаций как с </w:t>
      </w:r>
      <w:proofErr w:type="spellStart"/>
      <w:r>
        <w:rPr>
          <w:rFonts w:ascii="Times New Roman" w:hAnsi="Times New Roman"/>
          <w:sz w:val="24"/>
          <w:szCs w:val="24"/>
        </w:rPr>
        <w:t>экстрагалактическими</w:t>
      </w:r>
      <w:proofErr w:type="spellEnd"/>
      <w:r>
        <w:rPr>
          <w:rFonts w:ascii="Times New Roman" w:hAnsi="Times New Roman"/>
          <w:sz w:val="24"/>
          <w:szCs w:val="24"/>
        </w:rPr>
        <w:t xml:space="preserve">, так и с галактическими источниками. В частности, представлен анализ наблюдаемого триплета нейтринных кандидатов в галактической плоскости, исследована его потенциальная связь с определенными галактическими источниками, рассмотрено совпадение направлений прихода каскадных событий с несколькими яркими </w:t>
      </w:r>
      <w:proofErr w:type="spellStart"/>
      <w:r>
        <w:rPr>
          <w:rFonts w:ascii="Times New Roman" w:hAnsi="Times New Roman"/>
          <w:sz w:val="24"/>
          <w:szCs w:val="24"/>
        </w:rPr>
        <w:t>блазарами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8F269A" w14:textId="77777777" w:rsidR="003F77C0" w:rsidRDefault="00000000">
      <w:pPr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 wp14:anchorId="5A131968" wp14:editId="29C281C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22700" cy="303847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Рисунок 1. Три каскадных события </w:t>
      </w:r>
      <w:proofErr w:type="spellStart"/>
      <w:r>
        <w:rPr>
          <w:rFonts w:ascii="Times New Roman" w:hAnsi="Times New Roman"/>
          <w:sz w:val="24"/>
          <w:szCs w:val="24"/>
        </w:rPr>
        <w:t>Baikal_GVD</w:t>
      </w:r>
      <w:proofErr w:type="spellEnd"/>
      <w:r>
        <w:rPr>
          <w:rFonts w:ascii="Times New Roman" w:hAnsi="Times New Roman"/>
          <w:sz w:val="24"/>
          <w:szCs w:val="24"/>
        </w:rPr>
        <w:t xml:space="preserve"> с высокой энергией GVD190216</w:t>
      </w:r>
      <w:proofErr w:type="gramStart"/>
      <w:r>
        <w:rPr>
          <w:rFonts w:ascii="Times New Roman" w:hAnsi="Times New Roman"/>
          <w:sz w:val="24"/>
          <w:szCs w:val="24"/>
        </w:rPr>
        <w:t>CA,GVD</w:t>
      </w:r>
      <w:proofErr w:type="gramEnd"/>
      <w:r>
        <w:rPr>
          <w:rFonts w:ascii="Times New Roman" w:hAnsi="Times New Roman"/>
          <w:sz w:val="24"/>
          <w:szCs w:val="24"/>
        </w:rPr>
        <w:t xml:space="preserve">190604CA и GVD210716CA вблизи галактической плоскости (серая линия) и ошибки определения их направлений (черные линии). Точка статистически наиболее значимого превышения потока </w:t>
      </w:r>
      <w:proofErr w:type="spellStart"/>
      <w:r>
        <w:rPr>
          <w:rFonts w:ascii="Times New Roman" w:hAnsi="Times New Roman"/>
          <w:sz w:val="24"/>
          <w:szCs w:val="24"/>
        </w:rPr>
        <w:t>IceCube</w:t>
      </w:r>
      <w:proofErr w:type="spellEnd"/>
      <w:r>
        <w:rPr>
          <w:rFonts w:ascii="Times New Roman" w:hAnsi="Times New Roman"/>
          <w:sz w:val="24"/>
          <w:szCs w:val="24"/>
        </w:rPr>
        <w:t xml:space="preserve"> над изотропным в северном полушарии показана красным плюсом.</w:t>
      </w:r>
    </w:p>
    <w:p w14:paraId="5C93CD86" w14:textId="77777777" w:rsidR="00152DEF" w:rsidRDefault="00152DEF">
      <w:pPr>
        <w:pStyle w:val="aa"/>
        <w:shd w:val="clear" w:color="auto" w:fill="FFFFFF"/>
        <w:spacing w:beforeAutospacing="0" w:after="0" w:afterAutospacing="0"/>
        <w:rPr>
          <w:rFonts w:eastAsia="Calibri"/>
          <w:b/>
          <w:lang w:eastAsia="en-US"/>
        </w:rPr>
      </w:pPr>
    </w:p>
    <w:p w14:paraId="1DBB895E" w14:textId="77777777" w:rsidR="00152DEF" w:rsidRDefault="00152DEF">
      <w:pPr>
        <w:pStyle w:val="aa"/>
        <w:shd w:val="clear" w:color="auto" w:fill="FFFFFF"/>
        <w:spacing w:beforeAutospacing="0" w:after="0" w:afterAutospacing="0"/>
        <w:rPr>
          <w:rFonts w:eastAsia="Calibri"/>
          <w:b/>
          <w:lang w:eastAsia="en-US"/>
        </w:rPr>
      </w:pPr>
    </w:p>
    <w:p w14:paraId="0AC8A5E9" w14:textId="2D407B00" w:rsidR="003F77C0" w:rsidRPr="00144088" w:rsidRDefault="00000000">
      <w:pPr>
        <w:pStyle w:val="aa"/>
        <w:shd w:val="clear" w:color="auto" w:fill="FFFFFF"/>
        <w:spacing w:beforeAutospacing="0" w:after="0" w:afterAutospacing="0"/>
        <w:rPr>
          <w:lang w:val="en-US"/>
        </w:rPr>
      </w:pPr>
      <w:r>
        <w:rPr>
          <w:rFonts w:eastAsia="Calibri"/>
          <w:b/>
          <w:lang w:eastAsia="en-US"/>
        </w:rPr>
        <w:lastRenderedPageBreak/>
        <w:t>Публикации</w:t>
      </w:r>
      <w:r w:rsidRPr="00144088">
        <w:rPr>
          <w:rFonts w:eastAsia="Calibri"/>
          <w:b/>
          <w:lang w:val="en-US" w:eastAsia="en-US"/>
        </w:rPr>
        <w:t>:</w:t>
      </w:r>
    </w:p>
    <w:p w14:paraId="4E918574" w14:textId="77777777" w:rsidR="003F77C0" w:rsidRPr="00144088" w:rsidRDefault="00000000">
      <w:pPr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Baikal</w:t>
      </w:r>
      <w:r w:rsidRPr="00144088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GVD</w:t>
      </w:r>
      <w:r w:rsidRPr="0014408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Collaboration</w:t>
      </w:r>
      <w:r w:rsidRPr="00144088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14408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14408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Allakhverdyan</w:t>
      </w:r>
      <w:proofErr w:type="spellEnd"/>
      <w:r w:rsidRPr="0014408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et</w:t>
      </w:r>
      <w:r w:rsidRPr="0014408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144088">
        <w:rPr>
          <w:rFonts w:ascii="Times New Roman" w:hAnsi="Times New Roman"/>
          <w:sz w:val="24"/>
          <w:szCs w:val="24"/>
          <w:lang w:val="en-US"/>
        </w:rPr>
        <w:t>.) and N.A. </w:t>
      </w:r>
      <w:proofErr w:type="spellStart"/>
      <w:r w:rsidRPr="00144088">
        <w:rPr>
          <w:rFonts w:ascii="Times New Roman" w:hAnsi="Times New Roman"/>
          <w:sz w:val="24"/>
          <w:szCs w:val="24"/>
          <w:lang w:val="en-US"/>
        </w:rPr>
        <w:t>Kosogorov</w:t>
      </w:r>
      <w:proofErr w:type="spellEnd"/>
      <w:r w:rsidRPr="00144088">
        <w:rPr>
          <w:rFonts w:ascii="Times New Roman" w:hAnsi="Times New Roman"/>
          <w:sz w:val="24"/>
          <w:szCs w:val="24"/>
          <w:lang w:val="en-US"/>
        </w:rPr>
        <w:t>, Y.Y. Kovalev, G.V. </w:t>
      </w:r>
      <w:proofErr w:type="spellStart"/>
      <w:r w:rsidRPr="00144088">
        <w:rPr>
          <w:rFonts w:ascii="Times New Roman" w:hAnsi="Times New Roman"/>
          <w:sz w:val="24"/>
          <w:szCs w:val="24"/>
          <w:lang w:val="en-US"/>
        </w:rPr>
        <w:t>Lipunova</w:t>
      </w:r>
      <w:proofErr w:type="spellEnd"/>
      <w:r w:rsidRPr="00144088">
        <w:rPr>
          <w:rFonts w:ascii="Times New Roman" w:hAnsi="Times New Roman"/>
          <w:sz w:val="24"/>
          <w:szCs w:val="24"/>
          <w:lang w:val="en-US"/>
        </w:rPr>
        <w:t>, A.V. Plavin, D.V. </w:t>
      </w:r>
      <w:proofErr w:type="spellStart"/>
      <w:r w:rsidRPr="00144088">
        <w:rPr>
          <w:rFonts w:ascii="Times New Roman" w:hAnsi="Times New Roman"/>
          <w:sz w:val="24"/>
          <w:szCs w:val="24"/>
          <w:lang w:val="en-US"/>
        </w:rPr>
        <w:t>Semikoz</w:t>
      </w:r>
      <w:proofErr w:type="spellEnd"/>
      <w:r w:rsidRPr="00144088">
        <w:rPr>
          <w:rFonts w:ascii="Times New Roman" w:hAnsi="Times New Roman"/>
          <w:sz w:val="24"/>
          <w:szCs w:val="24"/>
          <w:lang w:val="en-US"/>
        </w:rPr>
        <w:t xml:space="preserve">, S.V. Troitsky, et al., </w:t>
      </w:r>
      <w:r>
        <w:rPr>
          <w:rFonts w:ascii="Times New Roman" w:hAnsi="Times New Roman"/>
          <w:sz w:val="24"/>
          <w:szCs w:val="24"/>
          <w:lang w:val="en-US"/>
        </w:rPr>
        <w:t>Search for directional associations between Baikal Gigaton Volume Detector neutrino-induced cascades and high-energy astrophysical sources</w:t>
      </w:r>
      <w:r w:rsidRPr="00144088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144088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Print</w:t>
      </w:r>
      <w:r w:rsidRPr="00144088">
        <w:rPr>
          <w:rFonts w:ascii="Times New Roman" w:hAnsi="Times New Roman"/>
          <w:sz w:val="24"/>
          <w:szCs w:val="24"/>
          <w:lang w:val="en-US"/>
        </w:rPr>
        <w:t xml:space="preserve">:2307.07327,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Mon.Not.Roy.Astron.Soc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., 526, 1, 942-951 (2023)</w:t>
      </w:r>
    </w:p>
    <w:p w14:paraId="3FB99A9E" w14:textId="77777777" w:rsidR="003F77C0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Координатор работ:</w:t>
      </w:r>
      <w:r>
        <w:rPr>
          <w:rFonts w:ascii="Times New Roman" w:hAnsi="Times New Roman"/>
          <w:sz w:val="24"/>
          <w:szCs w:val="24"/>
        </w:rPr>
        <w:t xml:space="preserve"> Домогацкий Григорий Владимирович</w:t>
      </w:r>
    </w:p>
    <w:p w14:paraId="4E6D7351" w14:textId="77777777" w:rsidR="003F77C0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Эл. почта: </w:t>
      </w:r>
      <w:hyperlink r:id="rId6">
        <w:r>
          <w:rPr>
            <w:rStyle w:val="-"/>
            <w:rFonts w:ascii="Times New Roman" w:hAnsi="Times New Roman"/>
            <w:sz w:val="24"/>
            <w:szCs w:val="24"/>
            <w:lang w:val="en-US"/>
          </w:rPr>
          <w:t>domogats</w:t>
        </w:r>
        <w:r>
          <w:rPr>
            <w:rStyle w:val="-"/>
            <w:rFonts w:ascii="Times New Roman" w:hAnsi="Times New Roman"/>
            <w:sz w:val="24"/>
            <w:szCs w:val="24"/>
          </w:rPr>
          <w:t>@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7EDD50C" w14:textId="77777777" w:rsidR="003F77C0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ПФНИ.</w:t>
      </w:r>
      <w:r>
        <w:rPr>
          <w:rFonts w:ascii="Times New Roman" w:hAnsi="Times New Roman"/>
          <w:sz w:val="24"/>
          <w:szCs w:val="24"/>
        </w:rPr>
        <w:t xml:space="preserve"> 1.3.3.3. Нейтринная физика, астрофизические и космологические аспекты ядерной физики и физики элементарных частиц</w:t>
      </w:r>
    </w:p>
    <w:p w14:paraId="09248871" w14:textId="77777777" w:rsidR="00144088" w:rsidRDefault="00144088" w:rsidP="001440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Долгосрочный анализ энергетической калибровки счетчиков LVD</w:t>
      </w:r>
    </w:p>
    <w:p w14:paraId="59930E6C" w14:textId="77777777" w:rsidR="00144088" w:rsidRDefault="00144088" w:rsidP="001440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исследований вариаций атмосферных мюонов под землей на Детекторе Большого Объема (</w:t>
      </w:r>
      <w:r>
        <w:rPr>
          <w:rFonts w:ascii="Times New Roman" w:hAnsi="Times New Roman"/>
          <w:sz w:val="24"/>
          <w:szCs w:val="24"/>
          <w:lang w:val="en-US"/>
        </w:rPr>
        <w:t>LVD</w:t>
      </w:r>
      <w:r>
        <w:rPr>
          <w:rFonts w:ascii="Times New Roman" w:hAnsi="Times New Roman"/>
          <w:sz w:val="24"/>
          <w:szCs w:val="24"/>
        </w:rPr>
        <w:t>, Гран Сассо, Италия) были проанализированы энергетические калибровки сцинтилляционных счетчиков установки в диапазоне энергий 50–450 МэВ. Энергетическая калибровка 840 счетчиков LVD проводится ежемесячно по мюонам, проходящим через детектор. В среднем 90,4% счетчиков калибруются автоматической программой каждый месяц по «мюонному пику». Изменение калибровочного коэффициента дает информацию об изменении свойств счетчика для целей устранения неполадок. В результате анализа калибровочных коэффициентов за долгий период получена сезонно-годовая разница в изменении положения максимума мюонного пика (в каналах), которая составляет около (-0,23 ± 0,</w:t>
      </w:r>
      <w:proofErr w:type="gramStart"/>
      <w:r>
        <w:rPr>
          <w:rFonts w:ascii="Times New Roman" w:hAnsi="Times New Roman"/>
          <w:sz w:val="24"/>
          <w:szCs w:val="24"/>
        </w:rPr>
        <w:t>08)%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799D27FD" w14:textId="77777777" w:rsidR="00144088" w:rsidRDefault="00144088" w:rsidP="001440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1270" distL="0" distR="3175" wp14:anchorId="5343E0EF" wp14:editId="6E1905F1">
            <wp:extent cx="5940425" cy="1694180"/>
            <wp:effectExtent l="0" t="0" r="0" b="0"/>
            <wp:docPr id="1025662495" name="Рисунок 1025662495" descr="Fig. 1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ig. 1.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3FE30" w14:textId="77777777" w:rsidR="00144088" w:rsidRDefault="00144088" w:rsidP="001440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(а) Распределение длин траекторий мюонов в счетчике, (б) энергетическое распределение «мюонных» импульсов в LVD-счетчиках, (в) </w:t>
      </w:r>
      <w:proofErr w:type="spellStart"/>
      <w:r>
        <w:rPr>
          <w:rFonts w:ascii="Times New Roman" w:hAnsi="Times New Roman"/>
          <w:sz w:val="24"/>
          <w:szCs w:val="24"/>
        </w:rPr>
        <w:t>фиттирующая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функция для определения мюонного пика.</w:t>
      </w:r>
    </w:p>
    <w:p w14:paraId="230B32DC" w14:textId="77777777" w:rsidR="00144088" w:rsidRPr="00144088" w:rsidRDefault="00144088" w:rsidP="00144088">
      <w:pPr>
        <w:jc w:val="both"/>
        <w:rPr>
          <w:lang w:val="en-US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Публикация</w:t>
      </w:r>
      <w:r>
        <w:rPr>
          <w:rFonts w:ascii="Times New Roman" w:hAnsi="Times New Roman" w:cstheme="minorHAnsi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theme="minorHAnsi"/>
          <w:sz w:val="24"/>
          <w:szCs w:val="24"/>
          <w:lang w:val="en-US"/>
        </w:rPr>
        <w:t xml:space="preserve"> </w:t>
      </w:r>
      <w:r>
        <w:rPr>
          <w:rFonts w:ascii="Times New Roman" w:hAnsi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N. Yu. Agafonova, V. V. </w:t>
      </w:r>
      <w:proofErr w:type="spellStart"/>
      <w:r>
        <w:rPr>
          <w:rFonts w:ascii="Times New Roman" w:hAnsi="Times New Roman" w:cstheme="minorHAnsi"/>
          <w:color w:val="000000"/>
          <w:sz w:val="24"/>
          <w:szCs w:val="24"/>
          <w:shd w:val="clear" w:color="auto" w:fill="FFFFFF"/>
          <w:lang w:val="en-US"/>
        </w:rPr>
        <w:t>Ashikhmin</w:t>
      </w:r>
      <w:proofErr w:type="spellEnd"/>
      <w:r>
        <w:rPr>
          <w:rFonts w:ascii="Times New Roman" w:hAnsi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, E. A. </w:t>
      </w:r>
      <w:proofErr w:type="spellStart"/>
      <w:r>
        <w:rPr>
          <w:rFonts w:ascii="Times New Roman" w:hAnsi="Times New Roman" w:cstheme="minorHAnsi"/>
          <w:color w:val="000000"/>
          <w:sz w:val="24"/>
          <w:szCs w:val="24"/>
          <w:shd w:val="clear" w:color="auto" w:fill="FFFFFF"/>
          <w:lang w:val="en-US"/>
        </w:rPr>
        <w:t>Dobrynina</w:t>
      </w:r>
      <w:proofErr w:type="spellEnd"/>
      <w:r>
        <w:rPr>
          <w:rFonts w:ascii="Times New Roman" w:hAnsi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, R. I. </w:t>
      </w:r>
      <w:proofErr w:type="spellStart"/>
      <w:r>
        <w:rPr>
          <w:rFonts w:ascii="Times New Roman" w:hAnsi="Times New Roman" w:cstheme="minorHAnsi"/>
          <w:color w:val="000000"/>
          <w:sz w:val="24"/>
          <w:szCs w:val="24"/>
          <w:shd w:val="clear" w:color="auto" w:fill="FFFFFF"/>
          <w:lang w:val="en-US"/>
        </w:rPr>
        <w:t>Enikeev</w:t>
      </w:r>
      <w:proofErr w:type="spellEnd"/>
      <w:r>
        <w:rPr>
          <w:rFonts w:ascii="Times New Roman" w:hAnsi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, N. A. Filimonova, I. R. </w:t>
      </w:r>
      <w:proofErr w:type="spellStart"/>
      <w:r>
        <w:rPr>
          <w:rFonts w:ascii="Times New Roman" w:hAnsi="Times New Roman" w:cstheme="minorHAnsi"/>
          <w:color w:val="000000"/>
          <w:sz w:val="24"/>
          <w:szCs w:val="24"/>
          <w:shd w:val="clear" w:color="auto" w:fill="FFFFFF"/>
          <w:lang w:val="en-US"/>
        </w:rPr>
        <w:t>Shakiryanova</w:t>
      </w:r>
      <w:proofErr w:type="spellEnd"/>
      <w:r>
        <w:rPr>
          <w:rFonts w:ascii="Times New Roman" w:hAnsi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, and V. F. Yakushev and LVD Collaboration. "Long-term Analysis of the Energy Calibration of LVD Counters". Bull. of the Rus. Acad. of Sci.: Physics, 2023, Vol. 87, No. 7, pp. 1053–1055, </w:t>
      </w:r>
      <w:hyperlink r:id="rId8">
        <w:r>
          <w:rPr>
            <w:rStyle w:val="-"/>
            <w:rFonts w:cstheme="minorHAnsi"/>
            <w:color w:val="000000"/>
            <w:u w:val="none"/>
            <w:shd w:val="clear" w:color="auto" w:fill="FFFFFF"/>
            <w:lang w:val="en-US"/>
          </w:rPr>
          <w:t>https://doi.org/10.3103/S1062873823702404</w:t>
        </w:r>
      </w:hyperlink>
    </w:p>
    <w:p w14:paraId="7FAAD6F8" w14:textId="77777777" w:rsidR="00144088" w:rsidRDefault="00144088" w:rsidP="0014408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D0FC3">
        <w:rPr>
          <w:rFonts w:ascii="Times New Roman" w:hAnsi="Times New Roman" w:cstheme="minorHAnsi"/>
          <w:b/>
          <w:bCs/>
          <w:color w:val="000000"/>
          <w:sz w:val="24"/>
          <w:szCs w:val="24"/>
          <w:highlight w:val="white"/>
        </w:rPr>
        <w:t xml:space="preserve">Координатор работ: </w:t>
      </w:r>
      <w:r w:rsidRPr="00FD0FC3">
        <w:rPr>
          <w:rFonts w:ascii="Times New Roman" w:hAnsi="Times New Roman" w:cstheme="minorHAnsi"/>
          <w:color w:val="000000"/>
          <w:sz w:val="24"/>
          <w:szCs w:val="24"/>
          <w:highlight w:val="white"/>
        </w:rPr>
        <w:t>Агафонова Н.Ю.</w:t>
      </w:r>
    </w:p>
    <w:p w14:paraId="5805D902" w14:textId="77777777" w:rsidR="00144088" w:rsidRDefault="00144088" w:rsidP="00144088">
      <w:pPr>
        <w:jc w:val="both"/>
      </w:pPr>
      <w:r w:rsidRPr="00FD0FC3">
        <w:rPr>
          <w:rFonts w:ascii="Times New Roman" w:hAnsi="Times New Roman" w:cstheme="minorHAnsi"/>
          <w:b/>
          <w:bCs/>
          <w:color w:val="000000"/>
          <w:sz w:val="24"/>
          <w:szCs w:val="24"/>
          <w:highlight w:val="white"/>
        </w:rPr>
        <w:t>эл. почта:</w:t>
      </w:r>
      <w:r w:rsidRPr="00FD0FC3">
        <w:rPr>
          <w:rFonts w:ascii="Times New Roman" w:hAnsi="Times New Roman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cstheme="minorHAnsi"/>
          <w:color w:val="000000"/>
          <w:highlight w:val="white"/>
          <w:lang w:val="en-US"/>
        </w:rPr>
        <w:t>natagafonova</w:t>
      </w:r>
      <w:proofErr w:type="spellEnd"/>
      <w:r w:rsidRPr="00FD0FC3">
        <w:rPr>
          <w:rFonts w:cstheme="minorHAnsi"/>
          <w:color w:val="000000"/>
          <w:highlight w:val="white"/>
        </w:rPr>
        <w:t>@</w:t>
      </w:r>
      <w:proofErr w:type="spellStart"/>
      <w:r>
        <w:rPr>
          <w:rFonts w:cstheme="minorHAnsi"/>
          <w:color w:val="000000"/>
          <w:highlight w:val="white"/>
          <w:lang w:val="en-US"/>
        </w:rPr>
        <w:t>gmail</w:t>
      </w:r>
      <w:proofErr w:type="spellEnd"/>
      <w:r w:rsidRPr="00FD0FC3">
        <w:rPr>
          <w:rFonts w:cstheme="minorHAnsi"/>
          <w:color w:val="000000"/>
          <w:highlight w:val="white"/>
        </w:rPr>
        <w:t>.</w:t>
      </w:r>
      <w:r>
        <w:rPr>
          <w:rFonts w:cstheme="minorHAnsi"/>
          <w:color w:val="000000"/>
          <w:highlight w:val="white"/>
          <w:lang w:val="en-US"/>
        </w:rPr>
        <w:t>com</w:t>
      </w:r>
    </w:p>
    <w:p w14:paraId="736317BC" w14:textId="77777777" w:rsidR="00144088" w:rsidRPr="00144088" w:rsidRDefault="00144088" w:rsidP="0014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theme="minorHAnsi"/>
          <w:color w:val="333333"/>
          <w:sz w:val="24"/>
          <w:szCs w:val="24"/>
          <w:lang w:eastAsia="ru-RU"/>
        </w:rPr>
      </w:pPr>
      <w:bookmarkStart w:id="1" w:name="__DdeLink__470_1184716246"/>
      <w:r w:rsidRPr="00FD0F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ПФНИ </w:t>
      </w:r>
      <w:bookmarkEnd w:id="1"/>
      <w:r w:rsidRPr="00FD0F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1.3.3.3.</w:t>
      </w:r>
      <w:r w:rsidRPr="00FD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40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Нейтринная физика, астрофизические и космологические аспекты ядерной физики и физики элементарных частиц</w:t>
      </w:r>
    </w:p>
    <w:p w14:paraId="3B928AB9" w14:textId="77777777" w:rsidR="00144088" w:rsidRDefault="00144088" w:rsidP="00144088">
      <w:pPr>
        <w:shd w:val="clear" w:color="auto" w:fill="FFFFFF"/>
        <w:spacing w:after="0" w:line="276" w:lineRule="auto"/>
        <w:jc w:val="both"/>
        <w:rPr>
          <w:rFonts w:ascii="Times New Roman" w:hAnsi="Times New Roman" w:cstheme="minorHAnsi"/>
          <w:i/>
          <w:iCs/>
          <w:sz w:val="24"/>
          <w:szCs w:val="24"/>
        </w:rPr>
      </w:pPr>
      <w:r>
        <w:br w:type="page"/>
      </w:r>
    </w:p>
    <w:p w14:paraId="7FE0A5C2" w14:textId="77777777" w:rsidR="00144088" w:rsidRDefault="00144088" w:rsidP="00144088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lastRenderedPageBreak/>
        <w:t>Новый метод измерения спина сверхмассивных черных дыр</w:t>
      </w:r>
    </w:p>
    <w:p w14:paraId="6843F969" w14:textId="77777777" w:rsidR="00144088" w:rsidRDefault="00144088" w:rsidP="001440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 новый метод измерения спинов (углового момента) сверхмассивных черных дыр по размеру и форме центрального темного пятна на их изображениях, полученных международной коллаборацией Телескоп Горизонта Событий (Event </w:t>
      </w:r>
      <w:proofErr w:type="spellStart"/>
      <w:r>
        <w:rPr>
          <w:rFonts w:ascii="Times New Roman" w:hAnsi="Times New Roman"/>
          <w:sz w:val="24"/>
          <w:szCs w:val="24"/>
        </w:rPr>
        <w:t>Horizon</w:t>
      </w:r>
      <w:proofErr w:type="spellEnd"/>
      <w:r>
        <w:rPr>
          <w:rFonts w:ascii="Times New Roman" w:hAnsi="Times New Roman"/>
          <w:sz w:val="24"/>
          <w:szCs w:val="24"/>
        </w:rPr>
        <w:t xml:space="preserve"> Telescope) методом радио-интерферометрии со сверхдлинной базой (РСДБ). Яркие пятна на этих изображениях интерпретируются как излучение падающего на черную дыру горячего вещества. Размер и форма центрального темного пятна на изображениях черных дыр определялись с помощью аналитических и численных вычислений для траекторий фотонов в метрике Керра для вращающейся черной дыры с фиксированным значением ее углового момента (спина). С использованием наблюдательных данных международной коллаборации Телескоп Горизонта Событий показано, что сверхмассивные черные дыры </w:t>
      </w:r>
      <w:proofErr w:type="spellStart"/>
      <w:r>
        <w:rPr>
          <w:rFonts w:ascii="Times New Roman" w:hAnsi="Times New Roman"/>
          <w:sz w:val="24"/>
          <w:szCs w:val="24"/>
        </w:rPr>
        <w:t>SgrA</w:t>
      </w:r>
      <w:proofErr w:type="spellEnd"/>
      <w:r>
        <w:rPr>
          <w:rFonts w:ascii="Times New Roman" w:hAnsi="Times New Roman"/>
          <w:sz w:val="24"/>
          <w:szCs w:val="24"/>
        </w:rPr>
        <w:t xml:space="preserve">* в центре нашей галактики Млечный Путь и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87* в центре гигантской эллиптической галактики M87 вращаются очень быстро.</w:t>
      </w:r>
    </w:p>
    <w:p w14:paraId="12C42DC1" w14:textId="77777777" w:rsidR="00144088" w:rsidRDefault="00144088" w:rsidP="001440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Быстрое развитие технологий астрофизических наблюдений, например при реализации проекта Космической Обсерватории </w:t>
      </w:r>
      <w:proofErr w:type="spellStart"/>
      <w:r>
        <w:rPr>
          <w:rFonts w:ascii="Times New Roman" w:hAnsi="Times New Roman"/>
          <w:sz w:val="24"/>
          <w:szCs w:val="24"/>
        </w:rPr>
        <w:t>Миллиметрон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предоставит в ближайшем будущем уникальную возможность для проверки различных модификаций теории гравитации Эйнштейна в режиме сильного поля. </w:t>
      </w:r>
    </w:p>
    <w:tbl>
      <w:tblPr>
        <w:tblW w:w="8332" w:type="dxa"/>
        <w:jc w:val="center"/>
        <w:tblLook w:val="01E0" w:firstRow="1" w:lastRow="1" w:firstColumn="1" w:lastColumn="1" w:noHBand="0" w:noVBand="0"/>
      </w:tblPr>
      <w:tblGrid>
        <w:gridCol w:w="3936"/>
        <w:gridCol w:w="339"/>
        <w:gridCol w:w="4057"/>
      </w:tblGrid>
      <w:tr w:rsidR="00144088" w14:paraId="53D305A5" w14:textId="77777777" w:rsidTr="00735F32">
        <w:trPr>
          <w:jc w:val="center"/>
        </w:trPr>
        <w:tc>
          <w:tcPr>
            <w:tcW w:w="3936" w:type="dxa"/>
            <w:shd w:val="clear" w:color="auto" w:fill="auto"/>
          </w:tcPr>
          <w:p w14:paraId="0B1BFB37" w14:textId="77777777" w:rsidR="00144088" w:rsidRDefault="00144088" w:rsidP="00735F32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7620" wp14:anchorId="5105D594" wp14:editId="67DF5F50">
                  <wp:extent cx="1668780" cy="1723390"/>
                  <wp:effectExtent l="0" t="0" r="0" b="0"/>
                  <wp:docPr id="2" name="Рисунок 7" descr="Изображение выглядит как круг, Графика, Красочность, искусство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7" descr="Изображение выглядит как круг, Графика, Красочность, искусство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shd w:val="clear" w:color="auto" w:fill="auto"/>
          </w:tcPr>
          <w:p w14:paraId="4B812600" w14:textId="77777777" w:rsidR="00144088" w:rsidRDefault="00144088" w:rsidP="00735F32">
            <w:pPr>
              <w:pStyle w:val="BodyCha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  <w:shd w:val="clear" w:color="auto" w:fill="auto"/>
          </w:tcPr>
          <w:p w14:paraId="349BB09B" w14:textId="77777777" w:rsidR="00144088" w:rsidRDefault="00144088" w:rsidP="00735F32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F586403" wp14:editId="7D01D321">
                  <wp:extent cx="1760220" cy="1760220"/>
                  <wp:effectExtent l="0" t="0" r="0" b="0"/>
                  <wp:docPr id="3" name="Рисунок 8" descr="Изображение выглядит как круг, Графика, графическая вставка, Красочность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8" descr="Изображение выглядит как круг, Графика, графическая вставка, Красочность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088" w14:paraId="2296CF1A" w14:textId="77777777" w:rsidTr="00735F32">
        <w:trPr>
          <w:jc w:val="center"/>
        </w:trPr>
        <w:tc>
          <w:tcPr>
            <w:tcW w:w="3936" w:type="dxa"/>
            <w:shd w:val="clear" w:color="auto" w:fill="auto"/>
          </w:tcPr>
          <w:p w14:paraId="618C74E3" w14:textId="77777777" w:rsidR="00144088" w:rsidRDefault="00144088" w:rsidP="00735F32">
            <w:pPr>
              <w:pStyle w:val="BodyCha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14:paraId="646D2285" w14:textId="77777777" w:rsidR="00144088" w:rsidRDefault="00144088" w:rsidP="00735F32">
            <w:pPr>
              <w:pStyle w:val="BodyCha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  <w:shd w:val="clear" w:color="auto" w:fill="auto"/>
          </w:tcPr>
          <w:p w14:paraId="49D24466" w14:textId="77777777" w:rsidR="00144088" w:rsidRDefault="00144088" w:rsidP="00735F32">
            <w:pPr>
              <w:pStyle w:val="BodyCha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88" w14:paraId="23B86448" w14:textId="77777777" w:rsidTr="00735F32">
        <w:trPr>
          <w:jc w:val="center"/>
        </w:trPr>
        <w:tc>
          <w:tcPr>
            <w:tcW w:w="3936" w:type="dxa"/>
            <w:shd w:val="clear" w:color="auto" w:fill="auto"/>
          </w:tcPr>
          <w:p w14:paraId="0E93EE51" w14:textId="77777777" w:rsidR="00144088" w:rsidRDefault="00144088" w:rsidP="00735F32">
            <w:pPr>
              <w:pStyle w:val="BodyCha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14:paraId="5C2A530B" w14:textId="77777777" w:rsidR="00144088" w:rsidRDefault="00144088" w:rsidP="00735F32">
            <w:pPr>
              <w:pStyle w:val="BodyCha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  <w:shd w:val="clear" w:color="auto" w:fill="auto"/>
          </w:tcPr>
          <w:p w14:paraId="5EC0C0FC" w14:textId="77777777" w:rsidR="00144088" w:rsidRDefault="00144088" w:rsidP="00735F32">
            <w:pPr>
              <w:pStyle w:val="BodyCha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EBE4BC" w14:textId="77777777" w:rsidR="00144088" w:rsidRDefault="00144088" w:rsidP="00144088">
      <w:pPr>
        <w:pStyle w:val="Bodytext"/>
        <w:rPr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Рис. 1</w:t>
      </w:r>
      <w:r>
        <w:rPr>
          <w:rFonts w:ascii="Times New Roman" w:hAnsi="Times New Roman"/>
          <w:sz w:val="24"/>
          <w:szCs w:val="24"/>
          <w:lang w:val="ru-RU"/>
        </w:rPr>
        <w:t xml:space="preserve">. Формы и размеры темных пятен на изображении черной дыры </w:t>
      </w:r>
      <w:proofErr w:type="spellStart"/>
      <w:r>
        <w:rPr>
          <w:rFonts w:ascii="Times New Roman" w:hAnsi="Times New Roman"/>
          <w:sz w:val="24"/>
          <w:szCs w:val="24"/>
        </w:rPr>
        <w:t>SgrA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* в случае удаленного наблюдателя (телескопа), расположенного в экваториальной плоскости черной </w:t>
      </w:r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дыры, при величине ее спина </w:t>
      </w:r>
      <w:r w:rsidRPr="00144088">
        <w:rPr>
          <w:rFonts w:ascii="Times New Roman" w:hAnsi="Times New Roman"/>
          <w:i/>
          <w:color w:val="auto"/>
          <w:sz w:val="24"/>
          <w:szCs w:val="24"/>
        </w:rPr>
        <w:t>a</w:t>
      </w:r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 = 0.65 (левая панель), и </w:t>
      </w:r>
      <w:r w:rsidRPr="00144088">
        <w:rPr>
          <w:rFonts w:ascii="Times New Roman" w:hAnsi="Times New Roman"/>
          <w:i/>
          <w:color w:val="auto"/>
          <w:sz w:val="24"/>
          <w:szCs w:val="24"/>
        </w:rPr>
        <w:t>a</w:t>
      </w:r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 = 0 (правая панель). Замкнутая малиновая кривая является проекцией классической тени черной дыры на небесную сферу. Красная пунктирная окружность соответствует размеру горизонта событий черной дыры в евклидовом пространстве без гравитации. Стрелка показывает направление оси вращения черной дыры </w:t>
      </w:r>
      <w:proofErr w:type="spellStart"/>
      <w:r w:rsidRPr="00144088">
        <w:rPr>
          <w:rFonts w:ascii="Times New Roman" w:hAnsi="Times New Roman"/>
          <w:color w:val="auto"/>
          <w:sz w:val="24"/>
          <w:szCs w:val="24"/>
        </w:rPr>
        <w:t>SgrA</w:t>
      </w:r>
      <w:proofErr w:type="spellEnd"/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>*.</w:t>
      </w:r>
    </w:p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4553"/>
        <w:gridCol w:w="277"/>
        <w:gridCol w:w="4525"/>
      </w:tblGrid>
      <w:tr w:rsidR="00144088" w14:paraId="62EF92F0" w14:textId="77777777" w:rsidTr="00735F32">
        <w:trPr>
          <w:trHeight w:val="4054"/>
          <w:jc w:val="center"/>
        </w:trPr>
        <w:tc>
          <w:tcPr>
            <w:tcW w:w="4554" w:type="dxa"/>
            <w:shd w:val="clear" w:color="auto" w:fill="auto"/>
          </w:tcPr>
          <w:p w14:paraId="3BB3048C" w14:textId="77777777" w:rsidR="00144088" w:rsidRDefault="00144088" w:rsidP="00735F32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5080" distL="0" distR="5080" wp14:anchorId="4A0D858F" wp14:editId="03C9A06F">
                  <wp:extent cx="2509520" cy="2509520"/>
                  <wp:effectExtent l="0" t="0" r="0" b="0"/>
                  <wp:docPr id="4" name="Рисунок 92066426" descr="Изображение выглядит как Янтарь, круг, Красочность, снимок экра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92066426" descr="Изображение выглядит как Янтарь, круг, Красочность, снимок экран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250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" w:type="dxa"/>
            <w:shd w:val="clear" w:color="auto" w:fill="auto"/>
          </w:tcPr>
          <w:p w14:paraId="5DC23943" w14:textId="77777777" w:rsidR="00144088" w:rsidRDefault="00144088" w:rsidP="00735F32">
            <w:pPr>
              <w:pStyle w:val="BodyCha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14:paraId="7F1BA756" w14:textId="77777777" w:rsidR="00144088" w:rsidRDefault="00144088" w:rsidP="00735F32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91C81DC" wp14:editId="05AED654">
                  <wp:extent cx="2495550" cy="2495550"/>
                  <wp:effectExtent l="0" t="0" r="0" b="0"/>
                  <wp:docPr id="5" name="Рисунок 361466878" descr="Изображение выглядит как Янтарь, круг, Красочность, све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61466878" descr="Изображение выглядит как Янтарь, круг, Красочность, све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088" w14:paraId="1076421D" w14:textId="77777777" w:rsidTr="00735F32">
        <w:trPr>
          <w:trHeight w:val="241"/>
          <w:jc w:val="center"/>
        </w:trPr>
        <w:tc>
          <w:tcPr>
            <w:tcW w:w="4554" w:type="dxa"/>
            <w:shd w:val="clear" w:color="auto" w:fill="auto"/>
          </w:tcPr>
          <w:p w14:paraId="1BE4F567" w14:textId="77777777" w:rsidR="00144088" w:rsidRDefault="00144088" w:rsidP="00735F32">
            <w:pPr>
              <w:pStyle w:val="BodyCha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39A73FB1" w14:textId="77777777" w:rsidR="00144088" w:rsidRDefault="00144088" w:rsidP="00735F32">
            <w:pPr>
              <w:pStyle w:val="BodyCha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14:paraId="604349E2" w14:textId="77777777" w:rsidR="00144088" w:rsidRDefault="00144088" w:rsidP="00735F32">
            <w:pPr>
              <w:pStyle w:val="BodyCha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D3124D" w14:textId="77777777" w:rsidR="00144088" w:rsidRDefault="00144088" w:rsidP="00144088">
      <w:pPr>
        <w:pStyle w:val="Bodytex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371DD8D" w14:textId="77777777" w:rsidR="00144088" w:rsidRDefault="00144088" w:rsidP="00144088">
      <w:pPr>
        <w:pStyle w:val="Bodytext"/>
        <w:rPr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Рис. 2</w:t>
      </w:r>
      <w:r>
        <w:rPr>
          <w:rFonts w:ascii="Times New Roman" w:hAnsi="Times New Roman"/>
          <w:sz w:val="24"/>
          <w:szCs w:val="24"/>
          <w:lang w:val="ru-RU"/>
        </w:rPr>
        <w:t xml:space="preserve">. Суперпозиция изображения Телескопа Горизонта Событий сверхмассивной черной дыры </w:t>
      </w:r>
      <w:proofErr w:type="spellStart"/>
      <w:r>
        <w:rPr>
          <w:rFonts w:ascii="Times New Roman" w:hAnsi="Times New Roman"/>
          <w:sz w:val="24"/>
          <w:szCs w:val="24"/>
        </w:rPr>
        <w:t>SgrA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* в центре нашей галактики Млечный </w:t>
      </w:r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Путь с темным пятном в случае спина черной дыры </w:t>
      </w:r>
      <w:r w:rsidRPr="00144088">
        <w:rPr>
          <w:rFonts w:ascii="Times New Roman" w:hAnsi="Times New Roman"/>
          <w:i/>
          <w:iCs w:val="0"/>
          <w:color w:val="auto"/>
          <w:sz w:val="24"/>
          <w:szCs w:val="24"/>
        </w:rPr>
        <w:t>a</w:t>
      </w:r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=1 (левая панель) и </w:t>
      </w:r>
      <w:r w:rsidRPr="00144088">
        <w:rPr>
          <w:rFonts w:ascii="Times New Roman" w:hAnsi="Times New Roman"/>
          <w:i/>
          <w:iCs w:val="0"/>
          <w:color w:val="auto"/>
          <w:sz w:val="24"/>
          <w:szCs w:val="24"/>
        </w:rPr>
        <w:t>a</w:t>
      </w:r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>=0.75 (правая панель). Малиновая замкнутая кривая является проекцией классической тени черной дыры на небесную сферу. Красная пунктирная окружность соответствует размеру горизонта событий черной дыры в евклидовом пространстве без гравитации. Темное пятно в данном случае является гравитационно-</w:t>
      </w:r>
      <w:proofErr w:type="spellStart"/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>линзированным</w:t>
      </w:r>
      <w:proofErr w:type="spellEnd"/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 изображением северного полушария глобуса горизонта событий черной дыры </w:t>
      </w:r>
      <w:proofErr w:type="spellStart"/>
      <w:r w:rsidRPr="00144088">
        <w:rPr>
          <w:rFonts w:ascii="Times New Roman" w:hAnsi="Times New Roman"/>
          <w:color w:val="auto"/>
          <w:sz w:val="24"/>
          <w:szCs w:val="24"/>
        </w:rPr>
        <w:t>SgrA</w:t>
      </w:r>
      <w:proofErr w:type="spellEnd"/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*. Стрелка показывает направление </w:t>
      </w:r>
      <w:r>
        <w:rPr>
          <w:rFonts w:ascii="Times New Roman" w:hAnsi="Times New Roman"/>
          <w:sz w:val="24"/>
          <w:szCs w:val="24"/>
          <w:lang w:val="ru-RU"/>
        </w:rPr>
        <w:t xml:space="preserve">оси вращения черной дыры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ru-RU"/>
        </w:rPr>
        <w:t>87*.</w:t>
      </w:r>
    </w:p>
    <w:p w14:paraId="724D524C" w14:textId="77777777" w:rsidR="00144088" w:rsidRDefault="00144088" w:rsidP="001440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6350" distL="0" distR="0" wp14:anchorId="1F60FC3B" wp14:editId="66B9213F">
            <wp:extent cx="2401570" cy="2337435"/>
            <wp:effectExtent l="0" t="0" r="0" b="0"/>
            <wp:docPr id="6" name="Рисунок 2" descr="Изображение выглядит как зарисовка, диаграмма, круг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 descr="Изображение выглядит как зарисовка, диаграмма, круг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B12FD" w14:textId="77777777" w:rsidR="00144088" w:rsidRPr="00FD0FC3" w:rsidRDefault="00144088" w:rsidP="00144088">
      <w:pPr>
        <w:pStyle w:val="Bodytex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Рис. 3</w:t>
      </w:r>
      <w:r>
        <w:rPr>
          <w:rFonts w:ascii="Times New Roman" w:hAnsi="Times New Roman"/>
          <w:sz w:val="24"/>
          <w:szCs w:val="24"/>
          <w:lang w:val="ru-RU"/>
        </w:rPr>
        <w:t xml:space="preserve">. Трехмерная </w:t>
      </w:r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картина расположения и ориентации сверхмассивной черной дыры </w:t>
      </w:r>
      <w:r w:rsidRPr="00144088">
        <w:rPr>
          <w:rFonts w:ascii="Times New Roman" w:hAnsi="Times New Roman"/>
          <w:color w:val="auto"/>
          <w:sz w:val="24"/>
          <w:szCs w:val="24"/>
        </w:rPr>
        <w:t>M</w:t>
      </w:r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87* в центре гигантской эллиптической галактики </w:t>
      </w:r>
      <w:r w:rsidRPr="00144088">
        <w:rPr>
          <w:rFonts w:ascii="Times New Roman" w:hAnsi="Times New Roman"/>
          <w:color w:val="auto"/>
          <w:sz w:val="24"/>
          <w:szCs w:val="24"/>
        </w:rPr>
        <w:t>M</w:t>
      </w:r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87 по отношению к удаленному наблюдателю (телескопу) на Земле. Тонкий аккреционный диск в плоскости экватора черной дыры </w:t>
      </w:r>
      <w:r w:rsidRPr="00144088">
        <w:rPr>
          <w:rFonts w:ascii="Times New Roman" w:hAnsi="Times New Roman"/>
          <w:color w:val="auto"/>
          <w:sz w:val="24"/>
          <w:szCs w:val="24"/>
        </w:rPr>
        <w:t>M</w:t>
      </w:r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87*показан голубым цветом. Темно-голубая сфера является изображением глобуса горизонта событий черной дыры </w:t>
      </w:r>
      <w:r w:rsidRPr="00144088">
        <w:rPr>
          <w:rFonts w:ascii="Times New Roman" w:hAnsi="Times New Roman"/>
          <w:color w:val="auto"/>
          <w:sz w:val="24"/>
          <w:szCs w:val="24"/>
        </w:rPr>
        <w:t>M</w:t>
      </w:r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87* со спином </w:t>
      </w:r>
      <w:r w:rsidRPr="00144088">
        <w:rPr>
          <w:rFonts w:ascii="Times New Roman" w:hAnsi="Times New Roman"/>
          <w:i/>
          <w:iCs w:val="0"/>
          <w:color w:val="auto"/>
          <w:sz w:val="24"/>
          <w:szCs w:val="24"/>
        </w:rPr>
        <w:t>a</w:t>
      </w:r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=1 в </w:t>
      </w:r>
      <w:proofErr w:type="spellStart"/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>эвклидовом</w:t>
      </w:r>
      <w:proofErr w:type="spellEnd"/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 пространстве без гравитации. Замкнутая черная кривая представляет собой внешнюю границу наблюдаемого Телескопом Горизонта Событий центрального темного пятна, являющегося проекцией на небесную сферу внешней границы </w:t>
      </w:r>
      <w:proofErr w:type="spellStart"/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>линзированного</w:t>
      </w:r>
      <w:proofErr w:type="spellEnd"/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 изображения южной полусферы глобуса горизонта событий черной дыры </w:t>
      </w:r>
      <w:r w:rsidRPr="00144088">
        <w:rPr>
          <w:rFonts w:ascii="Times New Roman" w:hAnsi="Times New Roman"/>
          <w:color w:val="auto"/>
          <w:sz w:val="24"/>
          <w:szCs w:val="24"/>
        </w:rPr>
        <w:t>M</w:t>
      </w:r>
      <w:r w:rsidRPr="00144088">
        <w:rPr>
          <w:rFonts w:ascii="Times New Roman" w:hAnsi="Times New Roman"/>
          <w:color w:val="auto"/>
          <w:sz w:val="24"/>
          <w:szCs w:val="24"/>
          <w:lang w:val="ru-RU"/>
        </w:rPr>
        <w:t xml:space="preserve">87*. Мульти-цветом показаны две траектории фотонов, (построенные с помощью численного интегрирования), стартующих вблизи экватора горизонта событий черной дыры и финиширующих в удаленном телескопе на Земле. Проекция классической тени черной дыры на небесную сферу показана коричневой замкнутой кривой. Красная пунктирная </w:t>
      </w:r>
      <w:r>
        <w:rPr>
          <w:rFonts w:ascii="Times New Roman" w:hAnsi="Times New Roman"/>
          <w:sz w:val="24"/>
          <w:szCs w:val="24"/>
          <w:lang w:val="ru-RU"/>
        </w:rPr>
        <w:t xml:space="preserve">окружность является проекцией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горизонта событий черной дыры на небесную сферу в случае отсутствия гравитации. Темное пятно в данном случае является гравитационно-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линзированным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изображением южного полушария глобуса горизонта событий черной дыры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ru-RU"/>
        </w:rPr>
        <w:t>87*. Стрелка</w:t>
      </w:r>
      <w:r w:rsidRPr="00FD0F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показывает</w:t>
      </w:r>
      <w:r w:rsidRPr="00FD0F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направление</w:t>
      </w:r>
      <w:r w:rsidRPr="00FD0F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оси</w:t>
      </w:r>
      <w:r w:rsidRPr="00FD0F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вращения</w:t>
      </w:r>
      <w:r w:rsidRPr="00FD0F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черной</w:t>
      </w:r>
      <w:r w:rsidRPr="00FD0F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дыры</w:t>
      </w:r>
      <w:r w:rsidRPr="00FD0F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FD0FC3">
        <w:rPr>
          <w:rFonts w:ascii="Times New Roman" w:hAnsi="Times New Roman"/>
          <w:sz w:val="24"/>
          <w:szCs w:val="24"/>
          <w:lang w:val="ru-RU"/>
        </w:rPr>
        <w:t>87*.</w:t>
      </w:r>
    </w:p>
    <w:p w14:paraId="0FF4449C" w14:textId="77777777" w:rsidR="00144088" w:rsidRPr="00FD0FC3" w:rsidRDefault="00144088" w:rsidP="00144088">
      <w:pPr>
        <w:pStyle w:val="Bodytext"/>
        <w:rPr>
          <w:rFonts w:ascii="Times New Roman" w:hAnsi="Times New Roman"/>
          <w:sz w:val="24"/>
          <w:szCs w:val="24"/>
          <w:lang w:val="ru-RU"/>
        </w:rPr>
      </w:pPr>
    </w:p>
    <w:p w14:paraId="28F8E034" w14:textId="77777777" w:rsidR="00144088" w:rsidRDefault="00144088" w:rsidP="001440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Публикация</w:t>
      </w:r>
      <w:r w:rsidRPr="00FD0FC3">
        <w:rPr>
          <w:rFonts w:ascii="Times New Roman" w:hAnsi="Times New Roman" w:cstheme="minorHAnsi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Dokuchaev</w:t>
      </w:r>
      <w:proofErr w:type="spellEnd"/>
      <w:r w:rsidRPr="00FD0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Vyacheslav</w:t>
      </w:r>
      <w:r w:rsidRPr="00FD0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Ivanovich</w:t>
      </w:r>
      <w:r w:rsidRPr="00FD0F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Spins of Supermassive Black Holes M87* and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SgrA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* Revealed from the Size of Dark Spots in Event Horizon Telescope Images //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Astronomy  –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2023. – Vol. 2, no. 3. Pages</w:t>
      </w:r>
      <w:r w:rsidRPr="00FD0FC3">
        <w:rPr>
          <w:rFonts w:ascii="Times New Roman" w:hAnsi="Times New Roman"/>
          <w:sz w:val="24"/>
          <w:szCs w:val="24"/>
        </w:rPr>
        <w:t xml:space="preserve"> – 141-152.</w:t>
      </w:r>
    </w:p>
    <w:p w14:paraId="6EBDE1F6" w14:textId="77777777" w:rsidR="00144088" w:rsidRDefault="00144088" w:rsidP="0014408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D0FC3">
        <w:rPr>
          <w:rFonts w:ascii="Times New Roman" w:hAnsi="Times New Roman" w:cstheme="minorHAnsi"/>
          <w:b/>
          <w:bCs/>
          <w:color w:val="000000"/>
          <w:sz w:val="24"/>
          <w:szCs w:val="24"/>
          <w:highlight w:val="white"/>
        </w:rPr>
        <w:t xml:space="preserve">Координатор работ: </w:t>
      </w:r>
      <w:r w:rsidRPr="00FD0FC3">
        <w:rPr>
          <w:rFonts w:ascii="Times New Roman" w:hAnsi="Times New Roman" w:cstheme="minorHAnsi"/>
          <w:color w:val="000000"/>
          <w:sz w:val="24"/>
          <w:szCs w:val="24"/>
          <w:highlight w:val="white"/>
        </w:rPr>
        <w:t>Докучаев В.И.</w:t>
      </w:r>
    </w:p>
    <w:p w14:paraId="0592879E" w14:textId="77777777" w:rsidR="00144088" w:rsidRDefault="00144088" w:rsidP="00144088">
      <w:pPr>
        <w:jc w:val="both"/>
      </w:pPr>
      <w:r w:rsidRPr="00FD0FC3">
        <w:rPr>
          <w:rFonts w:ascii="Times New Roman" w:hAnsi="Times New Roman" w:cstheme="minorHAnsi"/>
          <w:b/>
          <w:bCs/>
          <w:color w:val="000000"/>
          <w:sz w:val="24"/>
          <w:szCs w:val="24"/>
          <w:highlight w:val="white"/>
        </w:rPr>
        <w:t>эл. почта:</w:t>
      </w:r>
      <w:r w:rsidRPr="00FD0FC3">
        <w:rPr>
          <w:rFonts w:ascii="Times New Roman" w:hAnsi="Times New Roman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theme="minorHAnsi"/>
          <w:color w:val="000000"/>
          <w:sz w:val="24"/>
          <w:szCs w:val="24"/>
          <w:highlight w:val="white"/>
          <w:lang w:val="en-US"/>
        </w:rPr>
        <w:t>dokuchaev</w:t>
      </w:r>
      <w:proofErr w:type="spellEnd"/>
      <w:r w:rsidRPr="00FD0FC3">
        <w:rPr>
          <w:rFonts w:ascii="Times New Roman" w:hAnsi="Times New Roman" w:cstheme="minorHAnsi"/>
          <w:color w:val="000000"/>
          <w:sz w:val="24"/>
          <w:szCs w:val="24"/>
          <w:highlight w:val="white"/>
        </w:rPr>
        <w:t>@</w:t>
      </w:r>
      <w:proofErr w:type="spellStart"/>
      <w:r>
        <w:rPr>
          <w:rFonts w:ascii="Times New Roman" w:hAnsi="Times New Roman" w:cstheme="minorHAnsi"/>
          <w:color w:val="000000"/>
          <w:sz w:val="24"/>
          <w:szCs w:val="24"/>
          <w:highlight w:val="white"/>
          <w:lang w:val="en-US"/>
        </w:rPr>
        <w:t>inr</w:t>
      </w:r>
      <w:proofErr w:type="spellEnd"/>
      <w:r w:rsidRPr="00FD0FC3">
        <w:rPr>
          <w:rFonts w:ascii="Times New Roman" w:hAnsi="Times New Roman" w:cstheme="minorHAnsi"/>
          <w:color w:val="000000"/>
          <w:sz w:val="24"/>
          <w:szCs w:val="24"/>
          <w:highlight w:val="white"/>
        </w:rPr>
        <w:t>.</w:t>
      </w:r>
      <w:r>
        <w:rPr>
          <w:rFonts w:ascii="Times New Roman" w:hAnsi="Times New Roman" w:cstheme="minorHAnsi"/>
          <w:color w:val="000000"/>
          <w:sz w:val="24"/>
          <w:szCs w:val="24"/>
          <w:highlight w:val="white"/>
          <w:lang w:val="en-US"/>
        </w:rPr>
        <w:t>ac</w:t>
      </w:r>
      <w:r w:rsidRPr="00FD0FC3">
        <w:rPr>
          <w:rFonts w:ascii="Times New Roman" w:hAnsi="Times New Roman" w:cstheme="minorHAnsi"/>
          <w:color w:val="000000"/>
          <w:sz w:val="24"/>
          <w:szCs w:val="24"/>
          <w:highlight w:val="white"/>
        </w:rPr>
        <w:t>.</w:t>
      </w:r>
      <w:proofErr w:type="spellStart"/>
      <w:r>
        <w:rPr>
          <w:rFonts w:ascii="Times New Roman" w:hAnsi="Times New Roman" w:cstheme="minorHAnsi"/>
          <w:color w:val="000000"/>
          <w:sz w:val="24"/>
          <w:szCs w:val="24"/>
          <w:highlight w:val="white"/>
          <w:lang w:val="en-US"/>
        </w:rPr>
        <w:t>ru</w:t>
      </w:r>
      <w:proofErr w:type="spellEnd"/>
    </w:p>
    <w:p w14:paraId="61696594" w14:textId="77777777" w:rsidR="00144088" w:rsidRPr="00FD0FC3" w:rsidRDefault="00144088" w:rsidP="0014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theme="minorHAnsi"/>
          <w:color w:val="333333"/>
          <w:sz w:val="24"/>
          <w:szCs w:val="24"/>
          <w:lang w:eastAsia="ru-RU"/>
        </w:rPr>
      </w:pPr>
      <w:bookmarkStart w:id="2" w:name="__DdeLink__470_11847162461"/>
      <w:r w:rsidRPr="00FD0F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ПФНИ </w:t>
      </w:r>
      <w:bookmarkEnd w:id="2"/>
      <w:r w:rsidRPr="00FD0F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1.3.3.3.</w:t>
      </w:r>
      <w:r w:rsidRPr="00FD0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Нейтринная физика, астрофизические и космологические аспекты ядерной физики и физики элементарных частиц</w:t>
      </w:r>
    </w:p>
    <w:p w14:paraId="236ACCEA" w14:textId="77777777" w:rsidR="00144088" w:rsidRDefault="00144088" w:rsidP="0014408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D706B6E" w14:textId="77777777" w:rsidR="00675B72" w:rsidRDefault="00675B72" w:rsidP="00675B72">
      <w:pPr>
        <w:spacing w:line="240" w:lineRule="auto"/>
        <w:ind w:left="92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Представление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ренорм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>-инвариантных величин в теоретико-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возмущенческой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КХД через степени конформной аномалии</w:t>
      </w:r>
    </w:p>
    <w:p w14:paraId="5DEFA0B2" w14:textId="4CDABAE6" w:rsidR="00675B72" w:rsidRDefault="00675B72" w:rsidP="00675B72">
      <w:pPr>
        <w:spacing w:line="240" w:lineRule="auto"/>
        <w:jc w:val="both"/>
        <w:rPr>
          <w:rFonts w:eastAsia="Calibri"/>
          <w:b/>
        </w:rPr>
      </w:pPr>
      <w:r>
        <w:rPr>
          <w:rFonts w:ascii="Times New Roman" w:hAnsi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800D7" wp14:editId="04851459">
                <wp:simplePos x="0" y="0"/>
                <wp:positionH relativeFrom="column">
                  <wp:posOffset>62865</wp:posOffset>
                </wp:positionH>
                <wp:positionV relativeFrom="paragraph">
                  <wp:posOffset>6439033</wp:posOffset>
                </wp:positionV>
                <wp:extent cx="5342890" cy="827908"/>
                <wp:effectExtent l="0" t="0" r="0" b="0"/>
                <wp:wrapTopAndBottom/>
                <wp:docPr id="1815713557" name="Надпись 1815713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890" cy="82790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C33B55" w14:textId="77777777" w:rsidR="00675B72" w:rsidRPr="004F6B05" w:rsidRDefault="00675B72" w:rsidP="00675B72">
                            <w:pPr>
                              <w:pStyle w:val="a8"/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800D7" id="_x0000_t202" coordsize="21600,21600" o:spt="202" path="m,l,21600r21600,l21600,xe">
                <v:stroke joinstyle="miter"/>
                <v:path gradientshapeok="t" o:connecttype="rect"/>
              </v:shapetype>
              <v:shape id="Надпись 1815713557" o:spid="_x0000_s1026" type="#_x0000_t202" style="position:absolute;left:0;text-align:left;margin-left:4.95pt;margin-top:507pt;width:420.7pt;height:6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" stroked="f">
                <v:textbox style="mso-fit-shape-to-text:t" inset="0,0,0,0">
                  <w:txbxContent>
                    <w:p w14:paraId="5CC33B55" w14:textId="77777777" w:rsidR="00675B72" w:rsidRPr="004F6B05" w:rsidRDefault="00675B72" w:rsidP="00675B72">
                      <w:pPr>
                        <w:pStyle w:val="a8"/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iCs/>
          <w:sz w:val="24"/>
          <w:szCs w:val="24"/>
        </w:rPr>
        <w:t xml:space="preserve">Рассмотрено предложенное в 2016 году в работе А.Л. Катаева и Г. </w:t>
      </w:r>
      <w:proofErr w:type="spellStart"/>
      <w:r>
        <w:rPr>
          <w:rFonts w:ascii="Times New Roman" w:hAnsi="Times New Roman"/>
          <w:iCs/>
          <w:sz w:val="24"/>
          <w:szCs w:val="24"/>
        </w:rPr>
        <w:t>Цветича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  <w:lang w:val="en-US"/>
        </w:rPr>
        <w:t>Phys</w:t>
      </w:r>
      <w:r w:rsidRPr="00CD3C8D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  <w:lang w:val="en-US"/>
        </w:rPr>
        <w:t>Rev</w:t>
      </w:r>
      <w:r w:rsidRPr="00CD3C8D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  <w:lang w:val="en-US"/>
        </w:rPr>
        <w:t>D</w:t>
      </w:r>
      <w:r w:rsidRPr="00CD3C8D">
        <w:rPr>
          <w:rFonts w:ascii="Times New Roman" w:hAnsi="Times New Roman"/>
          <w:iCs/>
          <w:sz w:val="24"/>
          <w:szCs w:val="24"/>
        </w:rPr>
        <w:t xml:space="preserve">94 -2016- 014006 </w:t>
      </w:r>
      <w:r>
        <w:rPr>
          <w:rFonts w:ascii="Times New Roman" w:hAnsi="Times New Roman"/>
          <w:iCs/>
          <w:sz w:val="24"/>
          <w:szCs w:val="24"/>
        </w:rPr>
        <w:t xml:space="preserve">представление двух безмассовых аналитических  рядов теории возмущений в КХД для характеристики  процесса электрон-позитронной аннигиляции в адроны  и правила сумм глубоко-неупругого рассеяния поляризованных лептонов на нуклонах в  виде разложения по степеням нарушающую конформную симметрию </w:t>
      </w:r>
      <w:proofErr w:type="spellStart"/>
      <w:r>
        <w:rPr>
          <w:rFonts w:ascii="Times New Roman" w:hAnsi="Times New Roman"/>
          <w:iCs/>
          <w:sz w:val="24"/>
          <w:szCs w:val="24"/>
        </w:rPr>
        <w:t>неперенормированной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КХД ее </w:t>
      </w:r>
      <w:proofErr w:type="spellStart"/>
      <w:r>
        <w:rPr>
          <w:rFonts w:ascii="Times New Roman" w:hAnsi="Times New Roman"/>
          <w:iCs/>
          <w:sz w:val="24"/>
          <w:szCs w:val="24"/>
        </w:rPr>
        <w:t>ренорм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-групповой бета функции. Данное представление согласуется с видом соотношением между амплитудой процесса распада аксиально-векторного мезона на два фотона и произведением характеристик </w:t>
      </w:r>
      <w:proofErr w:type="spellStart"/>
      <w:r>
        <w:rPr>
          <w:rFonts w:ascii="Times New Roman" w:hAnsi="Times New Roman"/>
          <w:iCs/>
          <w:sz w:val="24"/>
          <w:szCs w:val="24"/>
        </w:rPr>
        <w:t>поцессов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электрон-позитронной аннигиляции и глубоко-неупругого рассеяния поляризованных лептонов </w:t>
      </w:r>
      <w:r>
        <w:rPr>
          <w:rFonts w:ascii="Times New Roman" w:hAnsi="Times New Roman"/>
          <w:iCs/>
          <w:sz w:val="24"/>
          <w:szCs w:val="24"/>
        </w:rPr>
        <w:t>на нуклонах,</w:t>
      </w:r>
      <w:r>
        <w:rPr>
          <w:rFonts w:ascii="Times New Roman" w:hAnsi="Times New Roman"/>
          <w:iCs/>
          <w:sz w:val="24"/>
          <w:szCs w:val="24"/>
        </w:rPr>
        <w:t xml:space="preserve"> часто называемого в литературе соотношением </w:t>
      </w:r>
      <w:proofErr w:type="spellStart"/>
      <w:r>
        <w:rPr>
          <w:rFonts w:ascii="Times New Roman" w:hAnsi="Times New Roman"/>
          <w:iCs/>
          <w:sz w:val="24"/>
          <w:szCs w:val="24"/>
        </w:rPr>
        <w:t>Крютера</w:t>
      </w:r>
      <w:proofErr w:type="spellEnd"/>
      <w:r>
        <w:rPr>
          <w:rFonts w:ascii="Times New Roman" w:hAnsi="Times New Roman"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Cs/>
          <w:sz w:val="24"/>
          <w:szCs w:val="24"/>
        </w:rPr>
        <w:t>Броадхарста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-Катаева. В работе показана справедливость рассматриваемого представления в четвертом порядке теории возмущений КХД и </w:t>
      </w:r>
      <w:r>
        <w:rPr>
          <w:rFonts w:ascii="Times New Roman" w:hAnsi="Times New Roman"/>
          <w:iCs/>
          <w:sz w:val="24"/>
          <w:szCs w:val="24"/>
        </w:rPr>
        <w:t>для статического потенциала,</w:t>
      </w:r>
      <w:r>
        <w:rPr>
          <w:rFonts w:ascii="Times New Roman" w:hAnsi="Times New Roman"/>
          <w:iCs/>
          <w:sz w:val="24"/>
          <w:szCs w:val="24"/>
        </w:rPr>
        <w:t xml:space="preserve"> и для коэффициентной функции для определенной </w:t>
      </w:r>
      <w:r>
        <w:rPr>
          <w:rFonts w:ascii="Times New Roman" w:hAnsi="Times New Roman"/>
          <w:iCs/>
          <w:sz w:val="24"/>
          <w:szCs w:val="24"/>
        </w:rPr>
        <w:t>на специальном</w:t>
      </w:r>
      <w:r>
        <w:rPr>
          <w:rFonts w:ascii="Times New Roman" w:hAnsi="Times New Roman"/>
          <w:iCs/>
          <w:sz w:val="24"/>
          <w:szCs w:val="24"/>
        </w:rPr>
        <w:t xml:space="preserve"> контуре петли Вильсона.  Выявлена выполнимость в 4-м порядке теории возмущений </w:t>
      </w:r>
      <w:r>
        <w:rPr>
          <w:rFonts w:ascii="Times New Roman" w:hAnsi="Times New Roman"/>
          <w:iCs/>
          <w:sz w:val="24"/>
          <w:szCs w:val="24"/>
        </w:rPr>
        <w:t>КХД аналога</w:t>
      </w:r>
      <w:r>
        <w:rPr>
          <w:rFonts w:ascii="Times New Roman" w:hAnsi="Times New Roman"/>
          <w:iCs/>
          <w:sz w:val="24"/>
          <w:szCs w:val="24"/>
        </w:rPr>
        <w:t xml:space="preserve"> соотношения КБК для разности рассмотренных двух величин. Продемонстрирована выполнимость изучаемого теоретического представления рядов ТВ КХД через степени конформной аномалии и для </w:t>
      </w:r>
      <w:proofErr w:type="spellStart"/>
      <w:r>
        <w:rPr>
          <w:rFonts w:ascii="Times New Roman" w:hAnsi="Times New Roman"/>
          <w:iCs/>
          <w:sz w:val="24"/>
          <w:szCs w:val="24"/>
        </w:rPr>
        <w:t>неизвлекавшегося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ранее</w:t>
      </w:r>
      <w:r>
        <w:rPr>
          <w:rFonts w:ascii="Times New Roman" w:hAnsi="Times New Roman"/>
          <w:iCs/>
          <w:sz w:val="24"/>
          <w:szCs w:val="24"/>
        </w:rPr>
        <w:t xml:space="preserve"> из экспериментов по процессу </w:t>
      </w:r>
      <w:proofErr w:type="spellStart"/>
      <w:r>
        <w:rPr>
          <w:rFonts w:ascii="Times New Roman" w:hAnsi="Times New Roman"/>
          <w:iCs/>
          <w:sz w:val="24"/>
          <w:szCs w:val="24"/>
        </w:rPr>
        <w:t>глубоконеупругого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нейтрино-нуклонного рассеяния неполяризованного правила сумм </w:t>
      </w:r>
      <w:proofErr w:type="spellStart"/>
      <w:r>
        <w:rPr>
          <w:rFonts w:ascii="Times New Roman" w:hAnsi="Times New Roman"/>
          <w:iCs/>
          <w:sz w:val="24"/>
          <w:szCs w:val="24"/>
        </w:rPr>
        <w:t>Бьеркена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для структурной </w:t>
      </w:r>
      <w:r>
        <w:rPr>
          <w:rFonts w:ascii="Times New Roman" w:hAnsi="Times New Roman"/>
          <w:iCs/>
          <w:sz w:val="24"/>
          <w:szCs w:val="24"/>
        </w:rPr>
        <w:t>функции F</w:t>
      </w:r>
      <w:r w:rsidRPr="00C851BD">
        <w:rPr>
          <w:rFonts w:ascii="Times New Roman" w:hAnsi="Times New Roman"/>
          <w:iCs/>
          <w:sz w:val="24"/>
          <w:szCs w:val="24"/>
        </w:rPr>
        <w:t xml:space="preserve">1. </w:t>
      </w:r>
      <w:r>
        <w:rPr>
          <w:rFonts w:ascii="Times New Roman" w:hAnsi="Times New Roman"/>
          <w:iCs/>
          <w:sz w:val="24"/>
          <w:szCs w:val="24"/>
        </w:rPr>
        <w:tab/>
        <w:t xml:space="preserve">Сделан вывод о выполнимости данного представления через степени конформной аномалии и для произвольной </w:t>
      </w:r>
      <w:proofErr w:type="spellStart"/>
      <w:r>
        <w:rPr>
          <w:rFonts w:ascii="Times New Roman" w:hAnsi="Times New Roman"/>
          <w:iCs/>
          <w:sz w:val="24"/>
          <w:szCs w:val="24"/>
        </w:rPr>
        <w:t>ренорм</w:t>
      </w:r>
      <w:proofErr w:type="spellEnd"/>
      <w:r>
        <w:rPr>
          <w:rFonts w:ascii="Times New Roman" w:hAnsi="Times New Roman"/>
          <w:iCs/>
          <w:sz w:val="24"/>
          <w:szCs w:val="24"/>
        </w:rPr>
        <w:t>-инвариантной величины и аномальных размерностей различных операторов.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</w:p>
    <w:p w14:paraId="4CF4C30D" w14:textId="77777777" w:rsidR="00675B72" w:rsidRPr="00675B72" w:rsidRDefault="00675B72" w:rsidP="00675B72">
      <w:pPr>
        <w:pStyle w:val="aa"/>
        <w:shd w:val="clear" w:color="auto" w:fill="FFFFFF"/>
        <w:spacing w:beforeAutospacing="0" w:after="0" w:afterAutospacing="0"/>
        <w:rPr>
          <w:rFonts w:eastAsia="Calibri"/>
          <w:b/>
          <w:lang w:val="en-US" w:eastAsia="en-US"/>
        </w:rPr>
      </w:pPr>
      <w:r w:rsidRPr="00653778">
        <w:rPr>
          <w:rFonts w:eastAsia="Calibri"/>
          <w:b/>
          <w:lang w:eastAsia="en-US"/>
        </w:rPr>
        <w:t>Публикации</w:t>
      </w:r>
      <w:r w:rsidRPr="00675B72">
        <w:rPr>
          <w:rFonts w:eastAsia="Calibri"/>
          <w:b/>
          <w:lang w:val="en-US" w:eastAsia="en-US"/>
        </w:rPr>
        <w:t>:</w:t>
      </w:r>
    </w:p>
    <w:p w14:paraId="64EBA343" w14:textId="77777777" w:rsidR="00675B72" w:rsidRDefault="00675B72" w:rsidP="00675B72">
      <w:pPr>
        <w:pStyle w:val="aa"/>
        <w:shd w:val="clear" w:color="auto" w:fill="FFFFFF"/>
        <w:spacing w:beforeAutospacing="0" w:after="0" w:afterAutospacing="0"/>
        <w:rPr>
          <w:rFonts w:eastAsia="Calibri"/>
          <w:lang w:val="en-US" w:eastAsia="en-US"/>
        </w:rPr>
      </w:pPr>
      <w:r w:rsidRPr="00F568CF">
        <w:rPr>
          <w:rFonts w:eastAsia="Calibri"/>
          <w:lang w:val="en-US" w:eastAsia="en-US"/>
        </w:rPr>
        <w:t xml:space="preserve">1. </w:t>
      </w:r>
      <w:r>
        <w:rPr>
          <w:rFonts w:eastAsia="Calibri"/>
          <w:lang w:val="en-US" w:eastAsia="en-US"/>
        </w:rPr>
        <w:t>A</w:t>
      </w:r>
      <w:r w:rsidRPr="00F568CF">
        <w:rPr>
          <w:rFonts w:eastAsia="Calibri"/>
          <w:lang w:val="en-US" w:eastAsia="en-US"/>
        </w:rPr>
        <w:t>.</w:t>
      </w:r>
      <w:r>
        <w:rPr>
          <w:rFonts w:eastAsia="Calibri"/>
          <w:lang w:val="en-US" w:eastAsia="en-US"/>
        </w:rPr>
        <w:t>L</w:t>
      </w:r>
      <w:r w:rsidRPr="00F568CF">
        <w:rPr>
          <w:rFonts w:eastAsia="Calibri"/>
          <w:lang w:val="en-US" w:eastAsia="en-US"/>
        </w:rPr>
        <w:t>.</w:t>
      </w:r>
      <w:r w:rsidRPr="00F568CF">
        <w:rPr>
          <w:rFonts w:eastAsia="Calibri"/>
          <w:lang w:val="en-US" w:eastAsia="en-US"/>
        </w:rPr>
        <w:tab/>
      </w:r>
      <w:proofErr w:type="spellStart"/>
      <w:r>
        <w:rPr>
          <w:rFonts w:eastAsia="Calibri"/>
          <w:lang w:val="en-US" w:eastAsia="en-US"/>
        </w:rPr>
        <w:t>Kataev</w:t>
      </w:r>
      <w:proofErr w:type="spellEnd"/>
      <w:r w:rsidRPr="00F568C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and</w:t>
      </w:r>
      <w:r w:rsidRPr="00F568C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V</w:t>
      </w:r>
      <w:r w:rsidRPr="00F568CF">
        <w:rPr>
          <w:rFonts w:eastAsia="Calibri"/>
          <w:lang w:val="en-US" w:eastAsia="en-US"/>
        </w:rPr>
        <w:t>.</w:t>
      </w:r>
      <w:r>
        <w:rPr>
          <w:rFonts w:eastAsia="Calibri"/>
          <w:lang w:val="en-US" w:eastAsia="en-US"/>
        </w:rPr>
        <w:t>S</w:t>
      </w:r>
      <w:r w:rsidRPr="00F568CF">
        <w:rPr>
          <w:rFonts w:eastAsia="Calibri"/>
          <w:lang w:val="en-US" w:eastAsia="en-US"/>
        </w:rPr>
        <w:t xml:space="preserve">. </w:t>
      </w:r>
      <w:proofErr w:type="spellStart"/>
      <w:r>
        <w:rPr>
          <w:rFonts w:eastAsia="Calibri"/>
          <w:lang w:val="en-US" w:eastAsia="en-US"/>
        </w:rPr>
        <w:t>Molokoedov</w:t>
      </w:r>
      <w:proofErr w:type="spellEnd"/>
      <w:r w:rsidRPr="00F568CF">
        <w:rPr>
          <w:rFonts w:eastAsia="Calibri"/>
          <w:lang w:val="en-US" w:eastAsia="en-US"/>
        </w:rPr>
        <w:t xml:space="preserve">, </w:t>
      </w:r>
      <w:r>
        <w:rPr>
          <w:rFonts w:eastAsia="Calibri"/>
          <w:lang w:val="en-US" w:eastAsia="en-US"/>
        </w:rPr>
        <w:t>Representation</w:t>
      </w:r>
      <w:r w:rsidRPr="00F568C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of</w:t>
      </w:r>
      <w:r w:rsidRPr="00F568C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the</w:t>
      </w:r>
      <w:r w:rsidRPr="00F568C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RG</w:t>
      </w:r>
      <w:r w:rsidRPr="00F568CF">
        <w:rPr>
          <w:rFonts w:eastAsia="Calibri"/>
          <w:lang w:val="en-US" w:eastAsia="en-US"/>
        </w:rPr>
        <w:t>-</w:t>
      </w:r>
      <w:r>
        <w:rPr>
          <w:rFonts w:eastAsia="Calibri"/>
          <w:lang w:val="en-US" w:eastAsia="en-US"/>
        </w:rPr>
        <w:t>invariant</w:t>
      </w:r>
      <w:r w:rsidRPr="00F568C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quantities</w:t>
      </w:r>
      <w:r w:rsidRPr="00F568C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in</w:t>
      </w:r>
      <w:r w:rsidRPr="00F568C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perturbative</w:t>
      </w:r>
      <w:r w:rsidRPr="00F568C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QCD</w:t>
      </w:r>
      <w:r w:rsidRPr="00F568C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through</w:t>
      </w:r>
      <w:r w:rsidRPr="00F568C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powers</w:t>
      </w:r>
      <w:r w:rsidRPr="00F568C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of</w:t>
      </w:r>
      <w:r w:rsidRPr="00F568C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the</w:t>
      </w:r>
      <w:r w:rsidRPr="00F568C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conformal</w:t>
      </w:r>
      <w:r w:rsidRPr="00F568C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anomaly, Physics of Particles and Nuclei, </w:t>
      </w:r>
    </w:p>
    <w:p w14:paraId="3EE31D81" w14:textId="77777777" w:rsidR="00675B72" w:rsidRPr="00F568CF" w:rsidRDefault="00675B72" w:rsidP="00675B72">
      <w:pPr>
        <w:pStyle w:val="aa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  <w:r w:rsidRPr="00F568CF">
        <w:rPr>
          <w:rFonts w:eastAsia="Calibri"/>
          <w:lang w:eastAsia="en-US"/>
        </w:rPr>
        <w:t xml:space="preserve">2023, </w:t>
      </w:r>
      <w:r>
        <w:rPr>
          <w:rFonts w:eastAsia="Calibri"/>
          <w:lang w:val="en-US" w:eastAsia="en-US"/>
        </w:rPr>
        <w:t>v</w:t>
      </w:r>
      <w:r w:rsidRPr="00F568CF">
        <w:rPr>
          <w:rFonts w:eastAsia="Calibri"/>
          <w:lang w:eastAsia="en-US"/>
        </w:rPr>
        <w:t xml:space="preserve">.54, </w:t>
      </w:r>
      <w:r>
        <w:rPr>
          <w:rFonts w:eastAsia="Calibri"/>
          <w:lang w:val="en-US" w:eastAsia="en-US"/>
        </w:rPr>
        <w:t>n</w:t>
      </w:r>
      <w:r w:rsidRPr="00F568CF">
        <w:rPr>
          <w:rFonts w:eastAsia="Calibri"/>
          <w:lang w:eastAsia="en-US"/>
        </w:rPr>
        <w:t xml:space="preserve"> 5, </w:t>
      </w:r>
      <w:r>
        <w:rPr>
          <w:rFonts w:eastAsia="Calibri"/>
          <w:lang w:val="en-US" w:eastAsia="en-US"/>
        </w:rPr>
        <w:t>pp</w:t>
      </w:r>
      <w:r w:rsidRPr="00F568CF">
        <w:rPr>
          <w:rFonts w:eastAsia="Calibri"/>
          <w:lang w:eastAsia="en-US"/>
        </w:rPr>
        <w:t>.931-941</w:t>
      </w:r>
    </w:p>
    <w:p w14:paraId="29EFA160" w14:textId="77777777" w:rsidR="00675B72" w:rsidRPr="00F568CF" w:rsidRDefault="00675B72" w:rsidP="00675B72">
      <w:pPr>
        <w:pStyle w:val="aa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  <w:r w:rsidRPr="000020AF">
        <w:rPr>
          <w:rFonts w:eastAsia="Calibri"/>
          <w:b/>
          <w:lang w:eastAsia="en-US"/>
        </w:rPr>
        <w:t>Координатор</w:t>
      </w:r>
      <w:r w:rsidRPr="00C851BD">
        <w:rPr>
          <w:rFonts w:eastAsia="Calibri"/>
          <w:b/>
          <w:lang w:eastAsia="en-US"/>
        </w:rPr>
        <w:t xml:space="preserve"> </w:t>
      </w:r>
      <w:r w:rsidRPr="000020AF">
        <w:rPr>
          <w:rFonts w:eastAsia="Calibri"/>
          <w:b/>
          <w:lang w:eastAsia="en-US"/>
        </w:rPr>
        <w:t>работ</w:t>
      </w:r>
      <w:r w:rsidRPr="00C851BD">
        <w:rPr>
          <w:rFonts w:eastAsia="Calibri"/>
          <w:b/>
          <w:bCs/>
          <w:lang w:eastAsia="en-US"/>
        </w:rPr>
        <w:t xml:space="preserve">: </w:t>
      </w:r>
      <w:r>
        <w:rPr>
          <w:rFonts w:eastAsia="Calibri"/>
          <w:b/>
          <w:bCs/>
          <w:lang w:eastAsia="en-US"/>
        </w:rPr>
        <w:t xml:space="preserve">Катаев Андрей Львович </w:t>
      </w:r>
    </w:p>
    <w:p w14:paraId="690EAC99" w14:textId="77777777" w:rsidR="00675B72" w:rsidRPr="00F568CF" w:rsidRDefault="00675B72" w:rsidP="00675B72">
      <w:pPr>
        <w:pStyle w:val="aa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  <w:proofErr w:type="spellStart"/>
      <w:proofErr w:type="gramStart"/>
      <w:r>
        <w:rPr>
          <w:rFonts w:eastAsia="Calibri"/>
          <w:lang w:eastAsia="en-US"/>
        </w:rPr>
        <w:t>эл</w:t>
      </w:r>
      <w:r w:rsidRPr="00C851BD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почта</w:t>
      </w:r>
      <w:proofErr w:type="spellEnd"/>
      <w:proofErr w:type="gramEnd"/>
      <w:r w:rsidRPr="00C851BD">
        <w:rPr>
          <w:rFonts w:eastAsia="Calibri"/>
          <w:lang w:eastAsia="en-US"/>
        </w:rPr>
        <w:t xml:space="preserve">: </w:t>
      </w:r>
      <w:proofErr w:type="spellStart"/>
      <w:r>
        <w:rPr>
          <w:rFonts w:eastAsia="Calibri"/>
          <w:lang w:val="en-US" w:eastAsia="en-US"/>
        </w:rPr>
        <w:t>kataev</w:t>
      </w:r>
      <w:proofErr w:type="spellEnd"/>
      <w:r w:rsidRPr="00F568CF">
        <w:rPr>
          <w:rFonts w:eastAsia="Calibri"/>
          <w:lang w:eastAsia="en-US"/>
        </w:rPr>
        <w:t>@</w:t>
      </w:r>
      <w:proofErr w:type="spellStart"/>
      <w:r>
        <w:rPr>
          <w:rFonts w:eastAsia="Calibri"/>
          <w:lang w:val="en-US" w:eastAsia="en-US"/>
        </w:rPr>
        <w:t>ms</w:t>
      </w:r>
      <w:proofErr w:type="spellEnd"/>
      <w:r w:rsidRPr="00F568CF">
        <w:rPr>
          <w:rFonts w:eastAsia="Calibri"/>
          <w:lang w:eastAsia="en-US"/>
        </w:rPr>
        <w:t>2.</w:t>
      </w:r>
      <w:proofErr w:type="spellStart"/>
      <w:r>
        <w:rPr>
          <w:rFonts w:eastAsia="Calibri"/>
          <w:lang w:val="en-US" w:eastAsia="en-US"/>
        </w:rPr>
        <w:t>inr</w:t>
      </w:r>
      <w:proofErr w:type="spellEnd"/>
      <w:r w:rsidRPr="00F568CF">
        <w:rPr>
          <w:rFonts w:eastAsia="Calibri"/>
          <w:lang w:eastAsia="en-US"/>
        </w:rPr>
        <w:t>.</w:t>
      </w:r>
      <w:r>
        <w:rPr>
          <w:rFonts w:eastAsia="Calibri"/>
          <w:lang w:val="en-US" w:eastAsia="en-US"/>
        </w:rPr>
        <w:t>ac</w:t>
      </w:r>
      <w:r w:rsidRPr="00F568CF"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val="en-US" w:eastAsia="en-US"/>
        </w:rPr>
        <w:t>ru</w:t>
      </w:r>
      <w:proofErr w:type="spellEnd"/>
    </w:p>
    <w:p w14:paraId="730069C8" w14:textId="77777777" w:rsidR="00675B72" w:rsidRPr="00EC6461" w:rsidRDefault="00675B72" w:rsidP="00675B72">
      <w:pPr>
        <w:pStyle w:val="aa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>тел. +7 </w:t>
      </w:r>
      <w:r w:rsidRPr="00EC6461">
        <w:rPr>
          <w:rFonts w:eastAsia="Calibri"/>
          <w:lang w:eastAsia="en-US"/>
        </w:rPr>
        <w:t>915-033-01-67</w:t>
      </w:r>
    </w:p>
    <w:p w14:paraId="169E7A3A" w14:textId="77777777" w:rsidR="00EC6461" w:rsidRDefault="00EC6461" w:rsidP="00EC6461">
      <w:pPr>
        <w:pStyle w:val="aa"/>
        <w:spacing w:beforeAutospacing="0" w:after="0" w:afterAutospacing="0" w:line="276" w:lineRule="auto"/>
        <w:ind w:firstLine="567"/>
        <w:jc w:val="center"/>
        <w:rPr>
          <w:b/>
          <w:bCs/>
          <w:i/>
          <w:iCs/>
          <w:color w:val="000000"/>
        </w:rPr>
      </w:pPr>
    </w:p>
    <w:p w14:paraId="13712E1F" w14:textId="77777777" w:rsidR="00EC6461" w:rsidRDefault="00EC6461" w:rsidP="00EC6461">
      <w:pPr>
        <w:pStyle w:val="aa"/>
        <w:spacing w:beforeAutospacing="0" w:after="0" w:afterAutospacing="0" w:line="276" w:lineRule="auto"/>
        <w:ind w:firstLine="567"/>
        <w:jc w:val="center"/>
        <w:rPr>
          <w:b/>
          <w:bCs/>
          <w:i/>
          <w:iCs/>
          <w:color w:val="000000"/>
        </w:rPr>
      </w:pPr>
    </w:p>
    <w:p w14:paraId="58C3B678" w14:textId="77777777" w:rsidR="00EC6461" w:rsidRDefault="00EC6461" w:rsidP="00EC6461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Построено эффективное описание скалярных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осциллонов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почти квадратичных потенциалах на примере модели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монодромии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673C0AA9" w14:textId="77777777" w:rsidR="00EC6461" w:rsidRDefault="00EC6461" w:rsidP="00EC6461">
      <w:pPr>
        <w:spacing w:after="0" w:line="276" w:lineRule="auto"/>
        <w:ind w:firstLine="567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Осциллоны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компактные осциллирующие сгустки бозонного поля, которые отличаются большими временами жизни. Их осцилляции не являются точно периодическими – </w:t>
      </w:r>
      <w:proofErr w:type="spellStart"/>
      <w:r>
        <w:rPr>
          <w:rFonts w:ascii="Times New Roman" w:hAnsi="Times New Roman"/>
          <w:sz w:val="24"/>
          <w:szCs w:val="24"/>
        </w:rPr>
        <w:t>осциллоны</w:t>
      </w:r>
      <w:proofErr w:type="spellEnd"/>
      <w:r>
        <w:rPr>
          <w:rFonts w:ascii="Times New Roman" w:hAnsi="Times New Roman"/>
          <w:sz w:val="24"/>
          <w:szCs w:val="24"/>
        </w:rPr>
        <w:t xml:space="preserve"> медленно распадаются за счёт небольшого испускаемого ими излучения. Одна из моделей </w:t>
      </w:r>
      <w:proofErr w:type="spellStart"/>
      <w:r>
        <w:rPr>
          <w:rFonts w:ascii="Times New Roman" w:hAnsi="Times New Roman"/>
          <w:sz w:val="24"/>
          <w:szCs w:val="24"/>
        </w:rPr>
        <w:t>осциллонов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– модель </w:t>
      </w:r>
      <w:proofErr w:type="spellStart"/>
      <w:r>
        <w:rPr>
          <w:rFonts w:ascii="Times New Roman" w:hAnsi="Times New Roman"/>
          <w:sz w:val="24"/>
          <w:szCs w:val="24"/>
        </w:rPr>
        <w:t>монодромии</w:t>
      </w:r>
      <w:proofErr w:type="spellEnd"/>
      <w:r>
        <w:rPr>
          <w:rFonts w:ascii="Times New Roman" w:hAnsi="Times New Roman"/>
          <w:sz w:val="24"/>
          <w:szCs w:val="24"/>
        </w:rPr>
        <w:t xml:space="preserve">, применяющаяся для описания поля </w:t>
      </w:r>
      <w:proofErr w:type="spellStart"/>
      <w:r>
        <w:rPr>
          <w:rFonts w:ascii="Times New Roman" w:hAnsi="Times New Roman"/>
          <w:sz w:val="24"/>
          <w:szCs w:val="24"/>
        </w:rPr>
        <w:t>инфлатона</w:t>
      </w:r>
      <w:proofErr w:type="spellEnd"/>
      <w:r>
        <w:rPr>
          <w:rFonts w:ascii="Times New Roman" w:hAnsi="Times New Roman"/>
          <w:sz w:val="24"/>
          <w:szCs w:val="24"/>
        </w:rPr>
        <w:t xml:space="preserve"> или скалярной тёмной материи.</w:t>
      </w:r>
    </w:p>
    <w:p w14:paraId="0571D2E9" w14:textId="77777777" w:rsidR="00EC6461" w:rsidRDefault="00EC6461" w:rsidP="00EC64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 построено эффективное описание </w:t>
      </w:r>
      <w:proofErr w:type="spellStart"/>
      <w:r>
        <w:rPr>
          <w:rFonts w:ascii="Times New Roman" w:hAnsi="Times New Roman"/>
          <w:sz w:val="24"/>
          <w:szCs w:val="24"/>
        </w:rPr>
        <w:t>осциллонов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модели </w:t>
      </w:r>
      <w:proofErr w:type="spellStart"/>
      <w:r>
        <w:rPr>
          <w:rFonts w:ascii="Times New Roman" w:hAnsi="Times New Roman"/>
          <w:sz w:val="24"/>
          <w:szCs w:val="24"/>
        </w:rPr>
        <w:t>монодромии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произвольно сильных полях. Отмечено, что слабая нелинейность притягивающего потенциала, уравновешивающая расталкивающий эффект пространственной производный, означает большой пространственный размер </w:t>
      </w:r>
      <w:proofErr w:type="spellStart"/>
      <w:r>
        <w:rPr>
          <w:rFonts w:ascii="Times New Roman" w:hAnsi="Times New Roman"/>
          <w:sz w:val="24"/>
          <w:szCs w:val="24"/>
        </w:rPr>
        <w:t>осциллонов</w:t>
      </w:r>
      <w:proofErr w:type="spellEnd"/>
      <w:r>
        <w:rPr>
          <w:rFonts w:ascii="Times New Roman" w:hAnsi="Times New Roman"/>
          <w:sz w:val="24"/>
          <w:szCs w:val="24"/>
        </w:rPr>
        <w:t xml:space="preserve">. Построенное эффективное действие обладает глобальной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1) симметрией во всех порядках, что гарантирует существование сохраняющегося заряда, и, поскольку потенциал теории является притягивающим, – </w:t>
      </w:r>
      <w:proofErr w:type="spellStart"/>
      <w:r>
        <w:rPr>
          <w:rFonts w:ascii="Times New Roman" w:hAnsi="Times New Roman"/>
          <w:sz w:val="24"/>
          <w:szCs w:val="24"/>
        </w:rPr>
        <w:t>нетопологических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солитонов, которые и служат приближённым описанием </w:t>
      </w:r>
      <w:proofErr w:type="spellStart"/>
      <w:r>
        <w:rPr>
          <w:rFonts w:ascii="Times New Roman" w:hAnsi="Times New Roman"/>
          <w:sz w:val="24"/>
          <w:szCs w:val="24"/>
        </w:rPr>
        <w:t>осциллонов</w:t>
      </w:r>
      <w:proofErr w:type="spellEnd"/>
      <w:r>
        <w:rPr>
          <w:rFonts w:ascii="Times New Roman" w:hAnsi="Times New Roman"/>
          <w:sz w:val="24"/>
          <w:szCs w:val="24"/>
        </w:rPr>
        <w:t xml:space="preserve">. Проведено сравнение предсказаний эффективной теории с численно найденными </w:t>
      </w:r>
      <w:proofErr w:type="spellStart"/>
      <w:r>
        <w:rPr>
          <w:rFonts w:ascii="Times New Roman" w:hAnsi="Times New Roman"/>
          <w:sz w:val="24"/>
          <w:szCs w:val="24"/>
        </w:rPr>
        <w:t>осциллонами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полной теории, см. Рис. 1. Точность предсказаний теории не падает даже при экстремально высоких амплитудах </w:t>
      </w:r>
      <w:proofErr w:type="spellStart"/>
      <w:r>
        <w:rPr>
          <w:rFonts w:ascii="Times New Roman" w:hAnsi="Times New Roman"/>
          <w:sz w:val="24"/>
          <w:szCs w:val="24"/>
        </w:rPr>
        <w:t>осциллонов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A48D2D5" w14:textId="77777777" w:rsidR="00EC6461" w:rsidRDefault="00EC6461" w:rsidP="00EC64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6A5E42" w14:textId="77777777" w:rsidR="00EC6461" w:rsidRDefault="00EC6461" w:rsidP="00EC6461">
      <w:pPr>
        <w:keepNext/>
        <w:jc w:val="center"/>
      </w:pPr>
      <w:r>
        <w:rPr>
          <w:noProof/>
        </w:rPr>
        <w:drawing>
          <wp:inline distT="0" distB="0" distL="0" distR="0" wp14:anchorId="7C111804" wp14:editId="36D34B5D">
            <wp:extent cx="3291840" cy="2335530"/>
            <wp:effectExtent l="0" t="0" r="0" b="0"/>
            <wp:docPr id="1070943545" name="Рисунок 1070943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EC6E4" w14:textId="77777777" w:rsidR="00EC6461" w:rsidRDefault="00EC6461" w:rsidP="00EC6461">
      <w:pPr>
        <w:pStyle w:val="a8"/>
        <w:jc w:val="both"/>
      </w:pP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Рисунок </w:t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begin"/>
      </w:r>
      <w:r>
        <w:rPr>
          <w:rFonts w:ascii="Times New Roman" w:hAnsi="Times New Roman"/>
          <w:i w:val="0"/>
          <w:iCs w:val="0"/>
          <w:sz w:val="24"/>
          <w:szCs w:val="24"/>
        </w:rPr>
        <w:instrText>SEQ Рисунок \* ARABIC</w:instrText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. (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lang w:val="en-US"/>
        </w:rPr>
        <w:t>a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) Амплитуды колебаний поля в центре и (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lang w:val="en-US"/>
        </w:rPr>
        <w:t>b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нетопологические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заряды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осциллонов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в модели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монодромии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при двух значениях степени потенциала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p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. Предсказания главного порядка эффективной теории (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lang w:val="en-US"/>
        </w:rPr>
        <w:t>EFT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) показаны сплошными линиями. Кружочки соответствуют численным результатам в полной теории</w:t>
      </w:r>
      <w:r w:rsidRPr="003171F8">
        <w:rPr>
          <w:rFonts w:ascii="Times New Roman" w:hAnsi="Times New Roman"/>
          <w:i w:val="0"/>
          <w:iCs w:val="0"/>
          <w:color w:val="auto"/>
          <w:sz w:val="24"/>
          <w:szCs w:val="24"/>
        </w:rPr>
        <w:t>.</w:t>
      </w:r>
    </w:p>
    <w:p w14:paraId="486164D6" w14:textId="77777777" w:rsidR="00EC6461" w:rsidRDefault="00EC6461" w:rsidP="00EC6461">
      <w:pPr>
        <w:spacing w:after="0" w:line="276" w:lineRule="auto"/>
        <w:jc w:val="both"/>
      </w:pPr>
    </w:p>
    <w:p w14:paraId="7AB4DC21" w14:textId="091F6466" w:rsidR="00EC6461" w:rsidRPr="00EC6461" w:rsidRDefault="00EC6461" w:rsidP="00EC6461">
      <w:pPr>
        <w:ind w:left="567" w:hanging="567"/>
        <w:jc w:val="both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Публикация</w:t>
      </w:r>
      <w:r>
        <w:rPr>
          <w:rFonts w:ascii="Times New Roman" w:hAnsi="Times New Roman"/>
          <w:sz w:val="24"/>
          <w:szCs w:val="24"/>
          <w:lang w:val="en-US"/>
        </w:rPr>
        <w:t xml:space="preserve">: D.G. Levkov, V.E. Maslov, “Analytic description of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monodromy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oscillons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,”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Phys. Rev. 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108</w:t>
      </w:r>
      <w:r>
        <w:rPr>
          <w:rFonts w:ascii="Times New Roman" w:hAnsi="Times New Roman"/>
          <w:sz w:val="24"/>
          <w:szCs w:val="24"/>
          <w:lang w:val="en-US"/>
        </w:rPr>
        <w:t>, 063514 (2023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).DOI</w:t>
      </w:r>
      <w:proofErr w:type="gramEnd"/>
      <w:r w:rsidRPr="00EC6461">
        <w:rPr>
          <w:rFonts w:ascii="Times New Roman" w:hAnsi="Times New Roman"/>
          <w:sz w:val="24"/>
          <w:szCs w:val="24"/>
          <w:lang w:val="en-US"/>
        </w:rPr>
        <w:t>:  10.1103/</w:t>
      </w:r>
      <w:r>
        <w:rPr>
          <w:rFonts w:ascii="Times New Roman" w:hAnsi="Times New Roman"/>
          <w:sz w:val="24"/>
          <w:szCs w:val="24"/>
          <w:lang w:val="en-US"/>
        </w:rPr>
        <w:t>PhysRevD</w:t>
      </w:r>
      <w:r w:rsidRPr="00EC6461">
        <w:rPr>
          <w:rFonts w:ascii="Times New Roman" w:hAnsi="Times New Roman"/>
          <w:sz w:val="24"/>
          <w:szCs w:val="24"/>
          <w:lang w:val="en-US"/>
        </w:rPr>
        <w:t>.108.063514</w:t>
      </w:r>
    </w:p>
    <w:p w14:paraId="076DD3A1" w14:textId="77777777" w:rsidR="00EC6461" w:rsidRPr="00EC6461" w:rsidRDefault="00EC6461" w:rsidP="00EC6461">
      <w:pPr>
        <w:pStyle w:val="aa"/>
        <w:shd w:val="clear" w:color="auto" w:fill="FFFFFF"/>
        <w:spacing w:beforeAutospacing="0" w:after="0" w:afterAutospacing="0" w:line="276" w:lineRule="auto"/>
        <w:rPr>
          <w:rFonts w:eastAsia="Calibri"/>
          <w:b/>
          <w:lang w:val="en-US" w:eastAsia="en-US"/>
        </w:rPr>
      </w:pPr>
    </w:p>
    <w:p w14:paraId="1B5C81DC" w14:textId="77777777" w:rsidR="00EC6461" w:rsidRPr="00EC6461" w:rsidRDefault="00EC6461" w:rsidP="00EC6461">
      <w:pPr>
        <w:pStyle w:val="aa"/>
        <w:shd w:val="clear" w:color="auto" w:fill="FFFFFF"/>
        <w:spacing w:beforeAutospacing="0" w:after="0" w:afterAutospacing="0" w:line="276" w:lineRule="auto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lang w:eastAsia="en-US"/>
        </w:rPr>
        <w:t>Координатор</w:t>
      </w:r>
      <w:r w:rsidRPr="00EC6461">
        <w:rPr>
          <w:rFonts w:eastAsia="Calibri"/>
          <w:b/>
          <w:lang w:val="en-US" w:eastAsia="en-US"/>
        </w:rPr>
        <w:t xml:space="preserve"> </w:t>
      </w:r>
      <w:r>
        <w:rPr>
          <w:rFonts w:eastAsia="Calibri"/>
          <w:b/>
          <w:lang w:eastAsia="en-US"/>
        </w:rPr>
        <w:t>работ</w:t>
      </w:r>
      <w:r w:rsidRPr="00EC6461">
        <w:rPr>
          <w:rFonts w:eastAsia="Calibri"/>
          <w:b/>
          <w:bCs/>
          <w:lang w:val="en-US" w:eastAsia="en-US"/>
        </w:rPr>
        <w:t xml:space="preserve">: </w:t>
      </w:r>
      <w:r>
        <w:rPr>
          <w:rFonts w:eastAsia="Calibri"/>
          <w:b/>
          <w:bCs/>
          <w:lang w:eastAsia="en-US"/>
        </w:rPr>
        <w:t>Левков</w:t>
      </w:r>
      <w:r w:rsidRPr="00EC6461">
        <w:rPr>
          <w:rFonts w:eastAsia="Calibri"/>
          <w:b/>
          <w:bCs/>
          <w:lang w:val="en-US" w:eastAsia="en-US"/>
        </w:rPr>
        <w:t xml:space="preserve"> </w:t>
      </w:r>
      <w:r>
        <w:rPr>
          <w:rFonts w:eastAsia="Calibri"/>
          <w:b/>
          <w:bCs/>
          <w:lang w:eastAsia="en-US"/>
        </w:rPr>
        <w:t>Дмитрий</w:t>
      </w:r>
      <w:r w:rsidRPr="00EC6461">
        <w:rPr>
          <w:rFonts w:eastAsia="Calibri"/>
          <w:b/>
          <w:bCs/>
          <w:lang w:val="en-US" w:eastAsia="en-US"/>
        </w:rPr>
        <w:t xml:space="preserve"> </w:t>
      </w:r>
      <w:r>
        <w:rPr>
          <w:rFonts w:eastAsia="Calibri"/>
          <w:b/>
          <w:bCs/>
          <w:lang w:eastAsia="en-US"/>
        </w:rPr>
        <w:t>Геннадиевич</w:t>
      </w:r>
    </w:p>
    <w:p w14:paraId="46EE9B81" w14:textId="77777777" w:rsidR="00EC6461" w:rsidRPr="00EC6461" w:rsidRDefault="00EC6461" w:rsidP="00EC6461">
      <w:pPr>
        <w:pStyle w:val="aa"/>
        <w:shd w:val="clear" w:color="auto" w:fill="FFFFFF"/>
        <w:spacing w:beforeAutospacing="0" w:after="0" w:afterAutospacing="0" w:line="276" w:lineRule="auto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эл</w:t>
      </w:r>
      <w:r w:rsidRPr="00EC6461">
        <w:rPr>
          <w:rFonts w:eastAsia="Calibri"/>
          <w:lang w:val="en-US" w:eastAsia="en-US"/>
        </w:rPr>
        <w:t xml:space="preserve">. </w:t>
      </w:r>
      <w:r>
        <w:rPr>
          <w:rFonts w:eastAsia="Calibri"/>
          <w:lang w:eastAsia="en-US"/>
        </w:rPr>
        <w:t>почта</w:t>
      </w:r>
      <w:r w:rsidRPr="00EC6461">
        <w:rPr>
          <w:rFonts w:eastAsia="Calibri"/>
          <w:lang w:val="en-US" w:eastAsia="en-US"/>
        </w:rPr>
        <w:t xml:space="preserve">: </w:t>
      </w:r>
      <w:r>
        <w:rPr>
          <w:rFonts w:eastAsia="Calibri"/>
          <w:lang w:val="en-US" w:eastAsia="en-US"/>
        </w:rPr>
        <w:t>levkov</w:t>
      </w:r>
      <w:r w:rsidRPr="00EC6461">
        <w:rPr>
          <w:rFonts w:eastAsia="Calibri"/>
          <w:lang w:val="en-US" w:eastAsia="en-US"/>
        </w:rPr>
        <w:t>@</w:t>
      </w:r>
      <w:r>
        <w:rPr>
          <w:rFonts w:eastAsia="Calibri"/>
          <w:lang w:val="en-US" w:eastAsia="en-US"/>
        </w:rPr>
        <w:t>ms</w:t>
      </w:r>
      <w:r w:rsidRPr="00EC6461">
        <w:rPr>
          <w:rFonts w:eastAsia="Calibri"/>
          <w:lang w:val="en-US" w:eastAsia="en-US"/>
        </w:rPr>
        <w:t>2.</w:t>
      </w:r>
      <w:r>
        <w:rPr>
          <w:rFonts w:eastAsia="Calibri"/>
          <w:lang w:val="en-US" w:eastAsia="en-US"/>
        </w:rPr>
        <w:t>inr</w:t>
      </w:r>
      <w:r w:rsidRPr="00EC6461">
        <w:rPr>
          <w:rFonts w:eastAsia="Calibri"/>
          <w:lang w:val="en-US" w:eastAsia="en-US"/>
        </w:rPr>
        <w:t>.</w:t>
      </w:r>
      <w:r>
        <w:rPr>
          <w:rFonts w:eastAsia="Calibri"/>
          <w:lang w:val="en-US" w:eastAsia="en-US"/>
        </w:rPr>
        <w:t>ac</w:t>
      </w:r>
      <w:r w:rsidRPr="00EC6461">
        <w:rPr>
          <w:rFonts w:eastAsia="Calibri"/>
          <w:lang w:val="en-US" w:eastAsia="en-US"/>
        </w:rPr>
        <w:t>.</w:t>
      </w:r>
      <w:r>
        <w:rPr>
          <w:rFonts w:eastAsia="Calibri"/>
          <w:lang w:val="en-US" w:eastAsia="en-US"/>
        </w:rPr>
        <w:t>ru</w:t>
      </w:r>
    </w:p>
    <w:p w14:paraId="4AD081C0" w14:textId="77777777" w:rsidR="00EC6461" w:rsidRPr="00EC6461" w:rsidRDefault="00EC6461" w:rsidP="00EC6461">
      <w:pPr>
        <w:pStyle w:val="aa"/>
        <w:shd w:val="clear" w:color="auto" w:fill="FFFFFF"/>
        <w:spacing w:beforeAutospacing="0" w:after="0" w:afterAutospacing="0" w:line="276" w:lineRule="auto"/>
        <w:rPr>
          <w:rFonts w:eastAsia="Calibri"/>
          <w:lang w:val="en-US" w:eastAsia="en-US"/>
        </w:rPr>
      </w:pPr>
    </w:p>
    <w:p w14:paraId="3C0E6D14" w14:textId="77777777" w:rsidR="00EC6461" w:rsidRDefault="00EC6461" w:rsidP="00EC6461">
      <w:pPr>
        <w:shd w:val="clear" w:color="auto" w:fill="FFFFFF"/>
        <w:spacing w:after="0" w:line="276" w:lineRule="auto"/>
        <w:jc w:val="both"/>
        <w:rPr>
          <w:rFonts w:eastAsia="Calibri"/>
          <w:b/>
          <w:bCs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ПФНИ 1.3.3.3.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Нейтринная физика, астрофизические и космологические аспекты ядерной физики и физики элементарных частиц</w:t>
      </w:r>
    </w:p>
    <w:p w14:paraId="107B794D" w14:textId="77777777" w:rsidR="00EC6461" w:rsidRDefault="00EC6461" w:rsidP="00EC6461">
      <w:pPr>
        <w:pStyle w:val="aa"/>
        <w:shd w:val="clear" w:color="auto" w:fill="FFFFFF"/>
        <w:spacing w:beforeAutospacing="0" w:after="0" w:afterAutospacing="0" w:line="276" w:lineRule="auto"/>
      </w:pPr>
      <w:r>
        <w:rPr>
          <w:rFonts w:eastAsia="Calibri"/>
          <w:b/>
          <w:bCs/>
          <w:lang w:eastAsia="en-US"/>
        </w:rPr>
        <w:t>Гранты</w:t>
      </w:r>
      <w:r>
        <w:rPr>
          <w:rFonts w:eastAsia="Calibri"/>
          <w:lang w:eastAsia="en-US"/>
        </w:rPr>
        <w:t>: Проект РНФ №22-12-00215</w:t>
      </w:r>
    </w:p>
    <w:p w14:paraId="6BE93B10" w14:textId="77777777" w:rsidR="00EC6461" w:rsidRDefault="00EC6461" w:rsidP="00EC6461">
      <w:pPr>
        <w:ind w:left="1560" w:hanging="1560"/>
        <w:jc w:val="both"/>
        <w:rPr>
          <w:rFonts w:ascii="Times New Roman" w:hAnsi="Times New Roman"/>
          <w:sz w:val="24"/>
          <w:szCs w:val="24"/>
        </w:rPr>
      </w:pPr>
    </w:p>
    <w:p w14:paraId="1538F71D" w14:textId="77777777" w:rsidR="00EC6461" w:rsidRPr="003171F8" w:rsidRDefault="00EC6461" w:rsidP="00EC64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6CCCC8" w14:textId="77777777" w:rsidR="00EC6461" w:rsidRPr="00EC6461" w:rsidRDefault="00EC6461" w:rsidP="00EC6461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C6461">
        <w:rPr>
          <w:rFonts w:ascii="Times New Roman" w:hAnsi="Times New Roman"/>
          <w:b/>
          <w:bCs/>
          <w:i/>
          <w:iCs/>
          <w:sz w:val="24"/>
          <w:szCs w:val="24"/>
        </w:rPr>
        <w:t>Разработаны алгоритмы машинного обучения для анализа данных эксперимента Байкал-GVD</w:t>
      </w:r>
    </w:p>
    <w:p w14:paraId="79F8E5CD" w14:textId="77777777" w:rsidR="00EC6461" w:rsidRPr="00EC6461" w:rsidRDefault="00EC6461" w:rsidP="00EC64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EC6461">
        <w:rPr>
          <w:rFonts w:ascii="Times New Roman" w:hAnsi="Times New Roman"/>
          <w:sz w:val="24"/>
          <w:szCs w:val="24"/>
        </w:rPr>
        <w:t>Восстановление характеристик нейтрино, регистрируемых в нейтринном телескопе Байкал-GVD, является сложной алгоритмической задачей. В рамках работ, были разработаны нейронные сети для улучшения качества реконструкции регистрируемых событий по следующим характеристикам:</w:t>
      </w:r>
    </w:p>
    <w:p w14:paraId="5C94DECF" w14:textId="243CE922" w:rsidR="00EC6461" w:rsidRPr="00EC6461" w:rsidRDefault="00EC6461" w:rsidP="00EC646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C6461">
        <w:rPr>
          <w:rFonts w:ascii="Times New Roman" w:hAnsi="Times New Roman"/>
          <w:sz w:val="24"/>
          <w:szCs w:val="24"/>
        </w:rPr>
        <w:t xml:space="preserve">Разработана нейронная сеть для подавления </w:t>
      </w:r>
      <w:r w:rsidR="00152DEF" w:rsidRPr="00EC6461">
        <w:rPr>
          <w:rFonts w:ascii="Times New Roman" w:hAnsi="Times New Roman"/>
          <w:sz w:val="24"/>
          <w:szCs w:val="24"/>
        </w:rPr>
        <w:t>шумовых срабатываний</w:t>
      </w:r>
      <w:r w:rsidRPr="00EC6461">
        <w:rPr>
          <w:rFonts w:ascii="Times New Roman" w:hAnsi="Times New Roman"/>
          <w:sz w:val="24"/>
          <w:szCs w:val="24"/>
        </w:rPr>
        <w:t xml:space="preserve"> оптических модулей эксперимента Байкал-GVD. На данных, симулирующих работу детектора, целевые метрики оказались на несколько процентов лучше, чем для стандартных алгоритмов. Также фильтрация шумов с помощью нейронной сети позволила улучшить угловое разрешение событий, в среднем, на 0.2 градуса.</w:t>
      </w:r>
    </w:p>
    <w:p w14:paraId="5634966C" w14:textId="77777777" w:rsidR="00EC6461" w:rsidRPr="00EC6461" w:rsidRDefault="00EC6461" w:rsidP="00EC646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C6461">
        <w:rPr>
          <w:rFonts w:ascii="Times New Roman" w:hAnsi="Times New Roman"/>
          <w:sz w:val="24"/>
          <w:szCs w:val="24"/>
        </w:rPr>
        <w:t>Разработана нейронная сеть для разделения ливней, индуцированных широкими атмосферными ливнями (ШАЛ), и нейтрино. На одно нейтрино-индуцированное событие приходится примерно один миллион ШАЛ-индуцированных событий. Внедрение нейронных сетей позволило улучшить качество разделения данных событий, сохраняя большую часть экспозиции нейтринных событий. Также на основе данной нейронной сети был разработан метод для определения потока нейтрино.</w:t>
      </w:r>
    </w:p>
    <w:p w14:paraId="3A7B844D" w14:textId="77777777" w:rsidR="00EC6461" w:rsidRPr="00EC6461" w:rsidRDefault="00EC6461" w:rsidP="00EC646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C6461">
        <w:rPr>
          <w:rFonts w:ascii="Times New Roman" w:hAnsi="Times New Roman"/>
          <w:sz w:val="24"/>
          <w:szCs w:val="24"/>
        </w:rPr>
        <w:t xml:space="preserve">Разработана </w:t>
      </w:r>
      <w:proofErr w:type="spellStart"/>
      <w:r w:rsidRPr="00EC6461">
        <w:rPr>
          <w:rFonts w:ascii="Times New Roman" w:hAnsi="Times New Roman"/>
          <w:sz w:val="24"/>
          <w:szCs w:val="24"/>
        </w:rPr>
        <w:t>графовая</w:t>
      </w:r>
      <w:proofErr w:type="spellEnd"/>
      <w:r w:rsidRPr="00EC6461">
        <w:rPr>
          <w:rFonts w:ascii="Times New Roman" w:hAnsi="Times New Roman"/>
          <w:sz w:val="24"/>
          <w:szCs w:val="24"/>
        </w:rPr>
        <w:t xml:space="preserve"> нейронная сеть для восстановления направления прихода нейтрино. На данных, симулирующих работу детектора, это позволило улучшить угловое разрешение событий примерно на 0.5 градуса.</w:t>
      </w:r>
    </w:p>
    <w:p w14:paraId="2F8F5A5C" w14:textId="77777777" w:rsidR="00EC6461" w:rsidRPr="00EC6461" w:rsidRDefault="00EC6461" w:rsidP="00EC64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C6461">
        <w:rPr>
          <w:rFonts w:ascii="Times New Roman" w:hAnsi="Times New Roman"/>
          <w:sz w:val="24"/>
          <w:szCs w:val="24"/>
        </w:rPr>
        <w:tab/>
        <w:t>В настоящее время ведутся работы по оптимизации нейронных сетей и изучается возможность их применения к реальным экспериментальным данным.</w:t>
      </w:r>
    </w:p>
    <w:p w14:paraId="298A53D7" w14:textId="77777777" w:rsidR="00EC6461" w:rsidRDefault="00EC6461" w:rsidP="00EC6461">
      <w:pPr>
        <w:jc w:val="both"/>
      </w:pPr>
    </w:p>
    <w:p w14:paraId="3ABF1F78" w14:textId="77777777" w:rsidR="00EC6461" w:rsidRDefault="00EC6461" w:rsidP="00EC6461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Координатор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Харук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Вячеславович</w:t>
      </w:r>
    </w:p>
    <w:p w14:paraId="5127198E" w14:textId="77777777" w:rsidR="00EC6461" w:rsidRDefault="00EC6461" w:rsidP="00EC6461">
      <w:pPr>
        <w:widowControl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>: +7 (919) 766-94-68</w:t>
      </w:r>
    </w:p>
    <w:p w14:paraId="640C4A0E" w14:textId="77777777" w:rsidR="00EC6461" w:rsidRPr="003171F8" w:rsidRDefault="00EC6461" w:rsidP="00EC6461">
      <w:pPr>
        <w:widowControl w:val="0"/>
        <w:spacing w:after="0" w:line="240" w:lineRule="auto"/>
        <w:jc w:val="both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e-mail</w:t>
      </w:r>
      <w:r>
        <w:rPr>
          <w:rFonts w:ascii="Times New Roman" w:hAnsi="Times New Roman"/>
          <w:sz w:val="24"/>
          <w:szCs w:val="24"/>
          <w:lang w:val="en-US"/>
        </w:rPr>
        <w:t>: ivan.kharuk@phystech.edu</w:t>
      </w:r>
    </w:p>
    <w:p w14:paraId="4681E363" w14:textId="77777777" w:rsidR="00EC6461" w:rsidRDefault="00EC6461" w:rsidP="00EC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7FFD20CE" w14:textId="77777777" w:rsidR="00EC6461" w:rsidRPr="003171F8" w:rsidRDefault="00EC6461" w:rsidP="00EC6461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</w:t>
      </w:r>
      <w:r w:rsidRPr="003171F8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2CE088DB" w14:textId="77777777" w:rsidR="00EC6461" w:rsidRPr="00EC6461" w:rsidRDefault="00EC6461" w:rsidP="00EC64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C6461">
        <w:rPr>
          <w:rFonts w:ascii="Times New Roman" w:hAnsi="Times New Roman"/>
          <w:sz w:val="24"/>
          <w:szCs w:val="24"/>
        </w:rPr>
        <w:t xml:space="preserve">1. I. </w:t>
      </w:r>
      <w:proofErr w:type="spellStart"/>
      <w:r w:rsidRPr="00EC6461">
        <w:rPr>
          <w:rFonts w:ascii="Times New Roman" w:hAnsi="Times New Roman"/>
          <w:sz w:val="24"/>
          <w:szCs w:val="24"/>
        </w:rPr>
        <w:t>Kharuk</w:t>
      </w:r>
      <w:proofErr w:type="spellEnd"/>
      <w:r w:rsidRPr="00EC6461">
        <w:rPr>
          <w:rFonts w:ascii="Times New Roman" w:hAnsi="Times New Roman"/>
          <w:sz w:val="24"/>
          <w:szCs w:val="24"/>
        </w:rPr>
        <w:t>, G. Rubtsov, G. Safronov, “Rejecting noise in Baikal-GVD data with neural networks” // JINST 18 (2023) 09, P09026 (DOI: 10.1088/1748-0221/18/09/P09026)</w:t>
      </w:r>
    </w:p>
    <w:p w14:paraId="3CEF0383" w14:textId="77777777" w:rsidR="00EC6461" w:rsidRDefault="00EC6461" w:rsidP="00EC64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C6461">
        <w:rPr>
          <w:rFonts w:ascii="Times New Roman" w:hAnsi="Times New Roman"/>
          <w:sz w:val="24"/>
          <w:szCs w:val="24"/>
        </w:rPr>
        <w:t xml:space="preserve">2. I. </w:t>
      </w:r>
      <w:proofErr w:type="spellStart"/>
      <w:r w:rsidRPr="00EC6461">
        <w:rPr>
          <w:rFonts w:ascii="Times New Roman" w:hAnsi="Times New Roman"/>
          <w:sz w:val="24"/>
          <w:szCs w:val="24"/>
        </w:rPr>
        <w:t>Kharuk</w:t>
      </w:r>
      <w:proofErr w:type="spellEnd"/>
      <w:r w:rsidRPr="00EC6461">
        <w:rPr>
          <w:rFonts w:ascii="Times New Roman" w:hAnsi="Times New Roman"/>
          <w:sz w:val="24"/>
          <w:szCs w:val="24"/>
        </w:rPr>
        <w:t xml:space="preserve">, G. Safronov, A. </w:t>
      </w:r>
      <w:proofErr w:type="spellStart"/>
      <w:r w:rsidRPr="00EC6461">
        <w:rPr>
          <w:rFonts w:ascii="Times New Roman" w:hAnsi="Times New Roman"/>
          <w:sz w:val="24"/>
          <w:szCs w:val="24"/>
        </w:rPr>
        <w:t>Matseiko</w:t>
      </w:r>
      <w:proofErr w:type="spellEnd"/>
      <w:r w:rsidRPr="00EC6461">
        <w:rPr>
          <w:rFonts w:ascii="Times New Roman" w:hAnsi="Times New Roman"/>
          <w:sz w:val="24"/>
          <w:szCs w:val="24"/>
        </w:rPr>
        <w:t xml:space="preserve">, A. Leonov, “Machine learning in Baikal-GVD experiment” // </w:t>
      </w:r>
      <w:proofErr w:type="spellStart"/>
      <w:r w:rsidRPr="00EC6461">
        <w:rPr>
          <w:rFonts w:ascii="Times New Roman" w:hAnsi="Times New Roman"/>
          <w:sz w:val="24"/>
          <w:szCs w:val="24"/>
        </w:rPr>
        <w:t>PoS</w:t>
      </w:r>
      <w:proofErr w:type="spellEnd"/>
      <w:r w:rsidRPr="00EC6461">
        <w:rPr>
          <w:rFonts w:ascii="Times New Roman" w:hAnsi="Times New Roman"/>
          <w:sz w:val="24"/>
          <w:szCs w:val="24"/>
        </w:rPr>
        <w:t xml:space="preserve"> ICRC2023 (2023), 1077 (DOI: 10.22323/1.444.1077)</w:t>
      </w:r>
    </w:p>
    <w:p w14:paraId="442DCE31" w14:textId="77777777" w:rsidR="00EC6461" w:rsidRPr="00EC6461" w:rsidRDefault="00EC6461" w:rsidP="00EC64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669D25" w14:textId="77777777" w:rsidR="00EC6461" w:rsidRDefault="00EC6461" w:rsidP="00EC6461">
      <w:pPr>
        <w:spacing w:after="200"/>
        <w:jc w:val="both"/>
      </w:pPr>
      <w:r w:rsidRPr="003171F8">
        <w:rPr>
          <w:rFonts w:ascii="Times New Roman" w:hAnsi="Times New Roman"/>
          <w:b/>
          <w:bCs/>
          <w:sz w:val="24"/>
          <w:szCs w:val="24"/>
        </w:rPr>
        <w:t>ПФНИ 1.3.3</w:t>
      </w:r>
      <w:r w:rsidRPr="003171F8">
        <w:rPr>
          <w:rFonts w:ascii="Times New Roman" w:hAnsi="Times New Roman"/>
          <w:sz w:val="24"/>
          <w:szCs w:val="24"/>
        </w:rPr>
        <w:t xml:space="preserve"> Ядерная физика и физика элементарных частиц</w:t>
      </w:r>
    </w:p>
    <w:p w14:paraId="1811DF95" w14:textId="77777777" w:rsidR="00675B72" w:rsidRDefault="00675B72" w:rsidP="0014408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B3DB3B8" w14:textId="77777777" w:rsidR="00144088" w:rsidRDefault="00144088"/>
    <w:sectPr w:rsidR="0014408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ejaVu LGC Sans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A89"/>
    <w:multiLevelType w:val="multilevel"/>
    <w:tmpl w:val="EFB0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2187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C0"/>
    <w:rsid w:val="00144088"/>
    <w:rsid w:val="00152DEF"/>
    <w:rsid w:val="003F77C0"/>
    <w:rsid w:val="00675B72"/>
    <w:rsid w:val="00EC6461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58DE"/>
  <w15:docId w15:val="{A3554946-C0F0-4A75-A6BB-0E539101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830"/>
    <w:pPr>
      <w:spacing w:after="160" w:line="259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4878C0"/>
    <w:rPr>
      <w:color w:val="0563C1" w:themeColor="hyperlink"/>
      <w:u w:val="single"/>
    </w:rPr>
  </w:style>
  <w:style w:type="character" w:customStyle="1" w:styleId="ListLabel9">
    <w:name w:val="ListLabel 9"/>
    <w:qFormat/>
    <w:rsid w:val="004878C0"/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9D0402"/>
    <w:rPr>
      <w:color w:val="605E5C"/>
      <w:shd w:val="clear" w:color="auto" w:fill="E1DFDD"/>
    </w:rPr>
  </w:style>
  <w:style w:type="character" w:customStyle="1" w:styleId="a4">
    <w:name w:val="Абзац списка Знак"/>
    <w:basedOn w:val="a0"/>
    <w:uiPriority w:val="34"/>
    <w:qFormat/>
    <w:rsid w:val="00907C32"/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rFonts w:ascii="Times New Roman" w:hAnsi="Times New Roman"/>
      <w:b/>
      <w:bCs/>
      <w:sz w:val="24"/>
      <w:szCs w:val="24"/>
    </w:rPr>
  </w:style>
  <w:style w:type="character" w:customStyle="1" w:styleId="ListLabel12">
    <w:name w:val="ListLabel 12"/>
    <w:qFormat/>
    <w:rPr>
      <w:rFonts w:cs="Symbol"/>
      <w:sz w:val="21"/>
    </w:rPr>
  </w:style>
  <w:style w:type="character" w:customStyle="1" w:styleId="ListLabel13">
    <w:name w:val="ListLabel 13"/>
    <w:qFormat/>
    <w:rPr>
      <w:rFonts w:cs="Courier New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cs="Wingdings"/>
      <w:sz w:val="20"/>
    </w:rPr>
  </w:style>
  <w:style w:type="character" w:customStyle="1" w:styleId="ListLabel20">
    <w:name w:val="ListLabel 20"/>
    <w:qFormat/>
    <w:rPr>
      <w:rFonts w:cs="Wingdings"/>
      <w:sz w:val="20"/>
    </w:rPr>
  </w:style>
  <w:style w:type="character" w:customStyle="1" w:styleId="ListLabel21">
    <w:name w:val="ListLabel 21"/>
    <w:qFormat/>
    <w:rPr>
      <w:rFonts w:eastAsia="Calibri" w:cs="Times New Roman"/>
      <w:sz w:val="24"/>
      <w:szCs w:val="24"/>
    </w:rPr>
  </w:style>
  <w:style w:type="character" w:customStyle="1" w:styleId="ListLabel22">
    <w:name w:val="ListLabel 22"/>
    <w:qFormat/>
    <w:rPr>
      <w:rFonts w:ascii="Times New Roman" w:hAnsi="Times New Roman" w:cs="Times New Roman"/>
      <w:b/>
      <w:bCs/>
      <w:i/>
      <w:iCs/>
      <w:sz w:val="24"/>
    </w:rPr>
  </w:style>
  <w:style w:type="character" w:customStyle="1" w:styleId="ListLabel23">
    <w:name w:val="ListLabel 23"/>
    <w:qFormat/>
    <w:rPr>
      <w:rFonts w:ascii="Times New Roman" w:hAnsi="Times New Roman" w:cs="Times New Roman"/>
      <w:b/>
      <w:bCs/>
      <w:i/>
      <w:iCs/>
      <w:sz w:val="24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  <w:b/>
      <w:bCs/>
      <w:i/>
      <w:iCs/>
    </w:rPr>
  </w:style>
  <w:style w:type="character" w:customStyle="1" w:styleId="ListLabel26">
    <w:name w:val="ListLabel 26"/>
    <w:qFormat/>
    <w:rPr>
      <w:rFonts w:cs="Times New Roman"/>
      <w:b/>
      <w:bCs/>
      <w:i/>
      <w:iCs/>
    </w:rPr>
  </w:style>
  <w:style w:type="character" w:customStyle="1" w:styleId="ListLabel27">
    <w:name w:val="ListLabel 2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8">
    <w:name w:val="ListLabel 28"/>
    <w:qFormat/>
    <w:rPr>
      <w:rFonts w:ascii="Times New Roman" w:hAnsi="Times New Roman"/>
      <w:sz w:val="24"/>
      <w:szCs w:val="24"/>
    </w:rPr>
  </w:style>
  <w:style w:type="character" w:customStyle="1" w:styleId="ListLabel29">
    <w:name w:val="ListLabel 29"/>
    <w:qFormat/>
    <w:rPr>
      <w:lang w:val="en-US"/>
    </w:rPr>
  </w:style>
  <w:style w:type="character" w:customStyle="1" w:styleId="ListLabel30">
    <w:name w:val="ListLabel 30"/>
    <w:qFormat/>
    <w:rPr>
      <w:rFonts w:eastAsia="Calibri"/>
      <w:lang w:val="en-US" w:eastAsia="en-US"/>
    </w:rPr>
  </w:style>
  <w:style w:type="character" w:customStyle="1" w:styleId="ListLabel31">
    <w:name w:val="ListLabel 31"/>
    <w:qFormat/>
    <w:rPr>
      <w:rFonts w:eastAsia="Calibri"/>
      <w:lang w:eastAsia="en-US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ascii="Times New Roman" w:eastAsia="Noto Serif CJK SC" w:hAnsi="Times New Roman"/>
      <w:color w:val="000000"/>
      <w:kern w:val="2"/>
      <w:sz w:val="24"/>
      <w:szCs w:val="24"/>
      <w:highlight w:val="white"/>
      <w:lang w:val="en-US" w:eastAsia="zh-CN" w:bidi="hi-IN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36">
    <w:name w:val="ListLabel 36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37">
    <w:name w:val="ListLabel 37"/>
    <w:qFormat/>
    <w:rPr>
      <w:rFonts w:ascii="Times New Roman" w:eastAsia="Times New Roman" w:hAnsi="Times New Roman"/>
      <w:color w:val="000000" w:themeColor="text1"/>
      <w:sz w:val="24"/>
      <w:szCs w:val="24"/>
      <w:lang w:eastAsia="ru-RU"/>
    </w:rPr>
  </w:style>
  <w:style w:type="character" w:customStyle="1" w:styleId="ListLabel38">
    <w:name w:val="ListLabel 38"/>
    <w:qFormat/>
    <w:rPr>
      <w:rFonts w:ascii="Times New Roman" w:eastAsia="Times New Roman" w:hAnsi="Times New Roman"/>
      <w:bCs/>
      <w:color w:val="000000" w:themeColor="text1"/>
      <w:sz w:val="24"/>
      <w:szCs w:val="24"/>
      <w:lang w:eastAsia="ru-RU"/>
    </w:rPr>
  </w:style>
  <w:style w:type="character" w:customStyle="1" w:styleId="ListLabel39">
    <w:name w:val="ListLabel 39"/>
    <w:qFormat/>
    <w:rPr>
      <w:rFonts w:ascii="Times New Roman" w:eastAsia="Times New Roman" w:hAnsi="Times New Roman"/>
      <w:i/>
      <w:color w:val="000000" w:themeColor="text1"/>
      <w:sz w:val="24"/>
      <w:szCs w:val="24"/>
      <w:lang w:eastAsia="ru-RU"/>
    </w:rPr>
  </w:style>
  <w:style w:type="character" w:customStyle="1" w:styleId="ListLabel40">
    <w:name w:val="ListLabel 40"/>
    <w:qFormat/>
    <w:rPr>
      <w:rFonts w:ascii="Times New Roman" w:eastAsia="Tahoma" w:hAnsi="Times New Roman"/>
      <w:color w:val="0563C1" w:themeColor="hyperlink"/>
      <w:sz w:val="24"/>
      <w:szCs w:val="24"/>
      <w:u w:val="single"/>
      <w:lang w:val="en-US"/>
    </w:rPr>
  </w:style>
  <w:style w:type="character" w:customStyle="1" w:styleId="ListLabel41">
    <w:name w:val="ListLabel 41"/>
    <w:qFormat/>
    <w:rPr>
      <w:rFonts w:ascii="Times New Roman" w:eastAsia="Tahoma" w:hAnsi="Times New Roman"/>
      <w:color w:val="0563C1" w:themeColor="hyperlink"/>
      <w:sz w:val="24"/>
      <w:szCs w:val="24"/>
      <w:u w:val="single"/>
    </w:rPr>
  </w:style>
  <w:style w:type="character" w:customStyle="1" w:styleId="ListLabel42">
    <w:name w:val="ListLabel 42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43">
    <w:name w:val="ListLabel 43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44">
    <w:name w:val="ListLabel 44"/>
    <w:qFormat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Label45">
    <w:name w:val="ListLabel 45"/>
    <w:qFormat/>
    <w:rPr>
      <w:rFonts w:ascii="Times New Roman" w:eastAsia="Times New Roman" w:hAnsi="Times New Roman"/>
      <w:sz w:val="24"/>
      <w:szCs w:val="24"/>
    </w:rPr>
  </w:style>
  <w:style w:type="character" w:customStyle="1" w:styleId="ListLabel46">
    <w:name w:val="ListLabel 46"/>
    <w:qFormat/>
    <w:rPr>
      <w:rFonts w:ascii="Times New Roman" w:eastAsia="Noto Sans CJK SC Regular" w:hAnsi="Times New Roman"/>
      <w:color w:val="0563C1" w:themeColor="hyperlink"/>
      <w:kern w:val="2"/>
      <w:sz w:val="24"/>
      <w:szCs w:val="24"/>
      <w:u w:val="single"/>
      <w:lang w:val="en-US" w:eastAsia="zh-CN" w:bidi="hi-IN"/>
    </w:rPr>
  </w:style>
  <w:style w:type="character" w:customStyle="1" w:styleId="ListLabel47">
    <w:name w:val="ListLabel 47"/>
    <w:qFormat/>
    <w:rPr>
      <w:rFonts w:ascii="Times New Roman" w:eastAsia="Noto Sans CJK SC Regular" w:hAnsi="Times New Roman"/>
      <w:color w:val="0563C1" w:themeColor="hyperlink"/>
      <w:kern w:val="2"/>
      <w:sz w:val="24"/>
      <w:szCs w:val="24"/>
      <w:u w:val="single"/>
      <w:lang w:eastAsia="zh-CN" w:bidi="hi-IN"/>
    </w:rPr>
  </w:style>
  <w:style w:type="character" w:customStyle="1" w:styleId="ListLabel48">
    <w:name w:val="ListLabel 48"/>
    <w:qFormat/>
    <w:rPr>
      <w:rFonts w:ascii="Times New Roman" w:eastAsia="Noto Serif CJK SC" w:hAnsi="Times New Roman"/>
      <w:b/>
      <w:i/>
      <w:kern w:val="2"/>
      <w:sz w:val="24"/>
      <w:szCs w:val="24"/>
      <w:lang w:eastAsia="ru-RU" w:bidi="hi-IN"/>
    </w:rPr>
  </w:style>
  <w:style w:type="character" w:customStyle="1" w:styleId="ListLabel49">
    <w:name w:val="ListLabel 49"/>
    <w:qFormat/>
    <w:rPr>
      <w:rFonts w:ascii="Times New Roman" w:eastAsia="Times New Roman" w:hAnsi="Times New Roman"/>
      <w:color w:val="0563C1" w:themeColor="hyperlink"/>
      <w:sz w:val="24"/>
      <w:szCs w:val="24"/>
      <w:u w:val="single"/>
      <w:lang w:val="en-US" w:eastAsia="ru-RU"/>
    </w:rPr>
  </w:style>
  <w:style w:type="character" w:customStyle="1" w:styleId="ListLabel50">
    <w:name w:val="ListLabel 50"/>
    <w:qFormat/>
    <w:rPr>
      <w:rFonts w:ascii="Times New Roman" w:eastAsia="Times New Roman" w:hAnsi="Times New Roman"/>
      <w:color w:val="0563C1" w:themeColor="hyperlink"/>
      <w:sz w:val="24"/>
      <w:szCs w:val="24"/>
      <w:u w:val="single"/>
      <w:lang w:eastAsia="ru-RU"/>
    </w:rPr>
  </w:style>
  <w:style w:type="character" w:customStyle="1" w:styleId="ListLabel51">
    <w:name w:val="ListLabel 51"/>
    <w:qFormat/>
    <w:rPr>
      <w:rFonts w:ascii="Times New Roman" w:eastAsia="Times New Roman" w:hAnsi="Times New Roman"/>
      <w:color w:val="0563C1" w:themeColor="hyperlink"/>
      <w:kern w:val="2"/>
      <w:sz w:val="24"/>
      <w:szCs w:val="24"/>
      <w:u w:val="single"/>
      <w:lang w:eastAsia="ru-RU" w:bidi="hi-IN"/>
    </w:rPr>
  </w:style>
  <w:style w:type="character" w:customStyle="1" w:styleId="ListLabel52">
    <w:name w:val="ListLabel 52"/>
    <w:qFormat/>
    <w:rPr>
      <w:rFonts w:ascii="Times New Roman" w:hAnsi="Times New Roman"/>
      <w:color w:val="0000FF"/>
      <w:kern w:val="2"/>
      <w:sz w:val="24"/>
      <w:szCs w:val="24"/>
      <w:u w:val="single"/>
      <w:lang w:val="en-US" w:eastAsia="ar-SA"/>
    </w:rPr>
  </w:style>
  <w:style w:type="character" w:customStyle="1" w:styleId="ListLabel53">
    <w:name w:val="ListLabel 53"/>
    <w:qFormat/>
    <w:rPr>
      <w:rFonts w:ascii="Times New Roman" w:hAnsi="Times New Roman"/>
      <w:color w:val="0000FF"/>
      <w:kern w:val="2"/>
      <w:sz w:val="24"/>
      <w:szCs w:val="24"/>
      <w:u w:val="single"/>
      <w:lang w:eastAsia="ar-SA"/>
    </w:rPr>
  </w:style>
  <w:style w:type="character" w:customStyle="1" w:styleId="ListLabel54">
    <w:name w:val="ListLabel 54"/>
    <w:qFormat/>
    <w:rPr>
      <w:rFonts w:ascii="Times New Roman" w:eastAsia="Times New Roman" w:hAnsi="Times New Roman"/>
      <w:color w:val="0000FF"/>
      <w:sz w:val="24"/>
      <w:szCs w:val="24"/>
      <w:u w:val="single"/>
      <w:lang w:val="en-US" w:eastAsia="ru-RU" w:bidi="en-US"/>
    </w:rPr>
  </w:style>
  <w:style w:type="character" w:customStyle="1" w:styleId="ListLabel55">
    <w:name w:val="ListLabel 55"/>
    <w:qFormat/>
    <w:rPr>
      <w:rFonts w:ascii="Times New Roman" w:eastAsia="Times New Roman" w:hAnsi="Times New Roman"/>
      <w:color w:val="0000FF"/>
      <w:sz w:val="24"/>
      <w:szCs w:val="24"/>
      <w:u w:val="single"/>
      <w:lang w:eastAsia="ru-RU" w:bidi="en-US"/>
    </w:rPr>
  </w:style>
  <w:style w:type="character" w:customStyle="1" w:styleId="ListLabel56">
    <w:name w:val="ListLabel 56"/>
    <w:qFormat/>
    <w:rPr>
      <w:rFonts w:cs="Times New Roman"/>
      <w:b/>
      <w:bCs/>
      <w:i/>
      <w:iCs/>
      <w:sz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58">
    <w:name w:val="ListLabel 58"/>
    <w:qFormat/>
    <w:rPr>
      <w:rFonts w:ascii="Times New Roman" w:hAnsi="Times New Roman"/>
      <w:sz w:val="24"/>
      <w:szCs w:val="24"/>
    </w:rPr>
  </w:style>
  <w:style w:type="character" w:customStyle="1" w:styleId="ListLabel59">
    <w:name w:val="ListLabel 59"/>
    <w:qFormat/>
    <w:rPr>
      <w:rFonts w:ascii="Times New Roman" w:hAnsi="Times New Roman"/>
      <w:sz w:val="24"/>
      <w:szCs w:val="24"/>
      <w:lang w:val="en-US"/>
    </w:rPr>
  </w:style>
  <w:style w:type="character" w:customStyle="1" w:styleId="ListLabel60">
    <w:name w:val="ListLabel 60"/>
    <w:qFormat/>
    <w:rPr>
      <w:rFonts w:ascii="Times New Roman" w:hAnsi="Times New Roman"/>
      <w:sz w:val="24"/>
      <w:szCs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uiPriority w:val="35"/>
    <w:qFormat/>
    <w:rsid w:val="002932C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Normal (Web)"/>
    <w:basedOn w:val="a"/>
    <w:uiPriority w:val="99"/>
    <w:unhideWhenUsed/>
    <w:qFormat/>
    <w:rsid w:val="002932C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текст отчета"/>
    <w:basedOn w:val="a"/>
    <w:qFormat/>
    <w:rsid w:val="004878C0"/>
    <w:pPr>
      <w:widowControl w:val="0"/>
      <w:suppressAutoHyphens/>
      <w:spacing w:after="0" w:line="360" w:lineRule="auto"/>
      <w:jc w:val="both"/>
    </w:pPr>
    <w:rPr>
      <w:rFonts w:ascii="Times New Roman" w:eastAsia="DejaVu LGC Sans" w:hAnsi="Times New Roman"/>
      <w:kern w:val="2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4878C0"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ad">
    <w:name w:val="Содержимое врезки"/>
    <w:basedOn w:val="a"/>
    <w:qFormat/>
  </w:style>
  <w:style w:type="paragraph" w:customStyle="1" w:styleId="ae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">
    <w:name w:val="Table Grid"/>
    <w:basedOn w:val="a1"/>
    <w:uiPriority w:val="39"/>
    <w:rsid w:val="0029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033DA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Char">
    <w:name w:val="Body Char Char"/>
    <w:link w:val="BodyChar"/>
    <w:qFormat/>
    <w:rsid w:val="00144088"/>
    <w:rPr>
      <w:rFonts w:ascii="Times" w:eastAsia="Times New Roman" w:hAnsi="Times" w:cs="Times New Roman"/>
      <w:color w:val="000000"/>
      <w:lang w:val="en-GB"/>
    </w:rPr>
  </w:style>
  <w:style w:type="paragraph" w:customStyle="1" w:styleId="Bodytext">
    <w:name w:val="Bodytext"/>
    <w:qFormat/>
    <w:rsid w:val="00144088"/>
    <w:pPr>
      <w:jc w:val="both"/>
    </w:pPr>
    <w:rPr>
      <w:rFonts w:ascii="Times" w:eastAsia="Times New Roman" w:hAnsi="Times" w:cs="Times New Roman"/>
      <w:iCs/>
      <w:color w:val="000000"/>
      <w:sz w:val="22"/>
      <w:lang w:val="en-US"/>
    </w:rPr>
  </w:style>
  <w:style w:type="paragraph" w:customStyle="1" w:styleId="BodyChar">
    <w:name w:val="Body Char"/>
    <w:link w:val="BodyCharChar"/>
    <w:qFormat/>
    <w:rsid w:val="00144088"/>
    <w:pPr>
      <w:tabs>
        <w:tab w:val="left" w:pos="567"/>
      </w:tabs>
      <w:jc w:val="both"/>
    </w:pPr>
    <w:rPr>
      <w:rFonts w:ascii="Times" w:eastAsia="Times New Roman" w:hAnsi="Times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3/S1062873823702404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omogats@yandex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 Вересникова</dc:creator>
  <dc:description/>
  <cp:lastModifiedBy>veresnikova anna</cp:lastModifiedBy>
  <cp:revision>5</cp:revision>
  <dcterms:created xsi:type="dcterms:W3CDTF">2023-10-04T12:50:00Z</dcterms:created>
  <dcterms:modified xsi:type="dcterms:W3CDTF">2023-10-04T12:55:00Z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